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0711" w14:textId="59D28FD5" w:rsidR="00D26D9D" w:rsidRDefault="00D26D9D" w:rsidP="00D77FED">
      <w:pPr>
        <w:rPr>
          <w:rFonts w:ascii="Times New Roman" w:hAnsi="Times New Roman" w:cs="Times New Roman"/>
          <w:lang w:val="en-US"/>
        </w:rPr>
      </w:pPr>
      <w:bookmarkStart w:id="0" w:name="_Hlk68690151"/>
      <w:r w:rsidRPr="00D26D9D">
        <w:rPr>
          <w:rStyle w:val="Notetext"/>
          <w:rFonts w:ascii="Times New Roman" w:hAnsi="Times New Roman" w:cs="Times New Roman"/>
          <w:lang w:val="en-US"/>
        </w:rPr>
        <w:t>N.B. The English text is an unofficial translation.</w:t>
      </w:r>
    </w:p>
    <w:p w14:paraId="7DE4CE05" w14:textId="77777777" w:rsidR="00D77FED" w:rsidRPr="00D77FED" w:rsidRDefault="00D77FED" w:rsidP="00D77FED">
      <w:pPr>
        <w:rPr>
          <w:rFonts w:ascii="Times New Roman" w:hAnsi="Times New Roman" w:cs="Times New Roman"/>
          <w:lang w:val="en-US"/>
        </w:rPr>
      </w:pPr>
    </w:p>
    <w:p w14:paraId="0D4ABADC" w14:textId="77777777" w:rsidR="00D26D9D" w:rsidRDefault="00D26D9D" w:rsidP="00D22C71">
      <w:pPr>
        <w:jc w:val="both"/>
        <w:rPr>
          <w:rFonts w:ascii="Times New Roman" w:hAnsi="Times New Roman"/>
          <w:b/>
          <w:bCs/>
        </w:rPr>
      </w:pPr>
    </w:p>
    <w:p w14:paraId="257A680E" w14:textId="77777777" w:rsidR="00D26D9D" w:rsidRDefault="00D26D9D" w:rsidP="00D22C71">
      <w:pPr>
        <w:jc w:val="both"/>
        <w:rPr>
          <w:rFonts w:ascii="Times New Roman" w:hAnsi="Times New Roman"/>
          <w:b/>
          <w:bCs/>
        </w:rPr>
      </w:pPr>
    </w:p>
    <w:p w14:paraId="3D459672" w14:textId="06EF4D70" w:rsidR="00157BC5" w:rsidRPr="00157BC5" w:rsidRDefault="00157BC5" w:rsidP="00D22C71">
      <w:pPr>
        <w:jc w:val="both"/>
        <w:rPr>
          <w:rFonts w:ascii="Times New Roman" w:hAnsi="Times New Roman"/>
          <w:b/>
          <w:bCs/>
        </w:rPr>
      </w:pPr>
      <w:r w:rsidRPr="00157BC5">
        <w:rPr>
          <w:rFonts w:ascii="Times New Roman" w:hAnsi="Times New Roman"/>
          <w:b/>
          <w:bCs/>
        </w:rPr>
        <w:t>Förslag om emission av teckningsoptioner till incitamentsprogram</w:t>
      </w:r>
    </w:p>
    <w:p w14:paraId="4BB5CF98" w14:textId="77777777" w:rsidR="00157BC5" w:rsidRDefault="00157BC5" w:rsidP="00D22C71">
      <w:pPr>
        <w:jc w:val="both"/>
        <w:rPr>
          <w:rFonts w:ascii="Times New Roman" w:hAnsi="Times New Roman"/>
        </w:rPr>
      </w:pPr>
    </w:p>
    <w:p w14:paraId="5E265145" w14:textId="660F2C4F" w:rsidR="00D22C71" w:rsidRDefault="00D22C71" w:rsidP="00D22C71">
      <w:pPr>
        <w:jc w:val="both"/>
        <w:rPr>
          <w:rFonts w:ascii="Times New Roman" w:hAnsi="Times New Roman"/>
          <w:sz w:val="22"/>
          <w:szCs w:val="22"/>
        </w:rPr>
      </w:pPr>
      <w:r w:rsidRPr="00D22C71">
        <w:rPr>
          <w:rFonts w:ascii="Times New Roman" w:hAnsi="Times New Roman"/>
          <w:sz w:val="22"/>
          <w:szCs w:val="22"/>
        </w:rPr>
        <w:t>I syfte att kunna behålla och rekrytera kompetenta och engagerade medarbetare föreslår styrelsen att bolagsstämman, med avvikelse från aktieägarnas företrädesrätt, beslutar om incitamentsprogram för vissa anställda ("</w:t>
      </w:r>
      <w:r w:rsidRPr="00D22C71">
        <w:rPr>
          <w:rFonts w:ascii="Times New Roman" w:hAnsi="Times New Roman"/>
          <w:b/>
          <w:bCs/>
          <w:sz w:val="22"/>
          <w:szCs w:val="22"/>
        </w:rPr>
        <w:t>Deltagarna</w:t>
      </w:r>
      <w:r w:rsidRPr="00D22C71">
        <w:rPr>
          <w:rFonts w:ascii="Times New Roman" w:hAnsi="Times New Roman"/>
          <w:sz w:val="22"/>
          <w:szCs w:val="22"/>
        </w:rPr>
        <w:t>") baserade på teckningsoptioner. Förslaget har beretts av styrelsen.</w:t>
      </w:r>
    </w:p>
    <w:p w14:paraId="6F23B9A6" w14:textId="3E514A2B" w:rsidR="00C12C76" w:rsidRPr="00C12C76" w:rsidRDefault="00C12C76" w:rsidP="00D22C71">
      <w:pPr>
        <w:jc w:val="both"/>
        <w:rPr>
          <w:rFonts w:ascii="Times New Roman" w:hAnsi="Times New Roman"/>
          <w:i/>
          <w:iCs/>
          <w:sz w:val="20"/>
          <w:szCs w:val="20"/>
          <w:lang w:val="en-US"/>
        </w:rPr>
      </w:pPr>
      <w:r w:rsidRPr="00110DE0">
        <w:rPr>
          <w:rFonts w:ascii="Times New Roman" w:hAnsi="Times New Roman"/>
          <w:i/>
          <w:iCs/>
          <w:sz w:val="20"/>
          <w:szCs w:val="20"/>
          <w:lang w:val="en-US"/>
        </w:rPr>
        <w:t xml:space="preserve">In order to be able to retain and recruit competent and committed employees, the </w:t>
      </w:r>
      <w:r>
        <w:rPr>
          <w:rFonts w:ascii="Times New Roman" w:hAnsi="Times New Roman"/>
          <w:i/>
          <w:iCs/>
          <w:sz w:val="20"/>
          <w:szCs w:val="20"/>
          <w:lang w:val="en-US"/>
        </w:rPr>
        <w:t xml:space="preserve">board of directors </w:t>
      </w:r>
      <w:r w:rsidRPr="00110DE0">
        <w:rPr>
          <w:rFonts w:ascii="Times New Roman" w:hAnsi="Times New Roman"/>
          <w:i/>
          <w:iCs/>
          <w:sz w:val="20"/>
          <w:szCs w:val="20"/>
          <w:lang w:val="en-US"/>
        </w:rPr>
        <w:t xml:space="preserve">proposes that the </w:t>
      </w:r>
      <w:r>
        <w:rPr>
          <w:rFonts w:ascii="Times New Roman" w:hAnsi="Times New Roman"/>
          <w:i/>
          <w:iCs/>
          <w:sz w:val="20"/>
          <w:szCs w:val="20"/>
          <w:lang w:val="en-US"/>
        </w:rPr>
        <w:t>g</w:t>
      </w:r>
      <w:r w:rsidRPr="00110DE0">
        <w:rPr>
          <w:rFonts w:ascii="Times New Roman" w:hAnsi="Times New Roman"/>
          <w:i/>
          <w:iCs/>
          <w:sz w:val="20"/>
          <w:szCs w:val="20"/>
          <w:lang w:val="en-US"/>
        </w:rPr>
        <w:t xml:space="preserve">eneral </w:t>
      </w:r>
      <w:r>
        <w:rPr>
          <w:rFonts w:ascii="Times New Roman" w:hAnsi="Times New Roman"/>
          <w:i/>
          <w:iCs/>
          <w:sz w:val="20"/>
          <w:szCs w:val="20"/>
          <w:lang w:val="en-US"/>
        </w:rPr>
        <w:t>m</w:t>
      </w:r>
      <w:r w:rsidRPr="00110DE0">
        <w:rPr>
          <w:rFonts w:ascii="Times New Roman" w:hAnsi="Times New Roman"/>
          <w:i/>
          <w:iCs/>
          <w:sz w:val="20"/>
          <w:szCs w:val="20"/>
          <w:lang w:val="en-US"/>
        </w:rPr>
        <w:t>eeting, deviating from the shareholders' pre</w:t>
      </w:r>
      <w:r>
        <w:rPr>
          <w:rFonts w:ascii="Times New Roman" w:hAnsi="Times New Roman"/>
          <w:i/>
          <w:iCs/>
          <w:sz w:val="20"/>
          <w:szCs w:val="20"/>
          <w:lang w:val="en-US"/>
        </w:rPr>
        <w:t>-emptive</w:t>
      </w:r>
      <w:r w:rsidRPr="00110DE0">
        <w:rPr>
          <w:rFonts w:ascii="Times New Roman" w:hAnsi="Times New Roman"/>
          <w:i/>
          <w:iCs/>
          <w:sz w:val="20"/>
          <w:szCs w:val="20"/>
          <w:lang w:val="en-US"/>
        </w:rPr>
        <w:t xml:space="preserve"> rights, </w:t>
      </w:r>
      <w:r>
        <w:rPr>
          <w:rFonts w:ascii="Times New Roman" w:hAnsi="Times New Roman"/>
          <w:i/>
          <w:iCs/>
          <w:sz w:val="20"/>
          <w:szCs w:val="20"/>
          <w:lang w:val="en-US"/>
        </w:rPr>
        <w:t xml:space="preserve">resolves </w:t>
      </w:r>
      <w:r w:rsidRPr="00110DE0">
        <w:rPr>
          <w:rFonts w:ascii="Times New Roman" w:hAnsi="Times New Roman"/>
          <w:i/>
          <w:iCs/>
          <w:sz w:val="20"/>
          <w:szCs w:val="20"/>
          <w:lang w:val="en-US"/>
        </w:rPr>
        <w:t xml:space="preserve"> on incentive </w:t>
      </w:r>
      <w:r>
        <w:rPr>
          <w:rFonts w:ascii="Times New Roman" w:hAnsi="Times New Roman"/>
          <w:i/>
          <w:iCs/>
          <w:sz w:val="20"/>
          <w:szCs w:val="20"/>
          <w:lang w:val="en-US"/>
        </w:rPr>
        <w:t>schemes</w:t>
      </w:r>
      <w:r w:rsidRPr="00110DE0">
        <w:rPr>
          <w:rFonts w:ascii="Times New Roman" w:hAnsi="Times New Roman"/>
          <w:i/>
          <w:iCs/>
          <w:sz w:val="20"/>
          <w:szCs w:val="20"/>
          <w:lang w:val="en-US"/>
        </w:rPr>
        <w:t xml:space="preserve"> for certain employees (the "</w:t>
      </w:r>
      <w:r w:rsidRPr="00D4713F">
        <w:rPr>
          <w:rFonts w:ascii="Times New Roman" w:hAnsi="Times New Roman"/>
          <w:b/>
          <w:bCs/>
          <w:i/>
          <w:iCs/>
          <w:sz w:val="20"/>
          <w:szCs w:val="20"/>
          <w:lang w:val="en-US"/>
        </w:rPr>
        <w:t>Participants</w:t>
      </w:r>
      <w:r w:rsidRPr="00110DE0">
        <w:rPr>
          <w:rFonts w:ascii="Times New Roman" w:hAnsi="Times New Roman"/>
          <w:i/>
          <w:iCs/>
          <w:sz w:val="20"/>
          <w:szCs w:val="20"/>
          <w:lang w:val="en-US"/>
        </w:rPr>
        <w:t>") based on warrants. The proposal has been prepared by the board</w:t>
      </w:r>
      <w:r>
        <w:rPr>
          <w:rFonts w:ascii="Times New Roman" w:hAnsi="Times New Roman"/>
          <w:i/>
          <w:iCs/>
          <w:sz w:val="20"/>
          <w:szCs w:val="20"/>
          <w:lang w:val="en-US"/>
        </w:rPr>
        <w:t xml:space="preserve"> of directors</w:t>
      </w:r>
      <w:r w:rsidRPr="00110DE0">
        <w:rPr>
          <w:rFonts w:ascii="Times New Roman" w:hAnsi="Times New Roman"/>
          <w:i/>
          <w:iCs/>
          <w:sz w:val="20"/>
          <w:szCs w:val="20"/>
          <w:lang w:val="en-US"/>
        </w:rPr>
        <w:t>.</w:t>
      </w:r>
    </w:p>
    <w:p w14:paraId="7F08B834" w14:textId="77777777" w:rsidR="00D22C71" w:rsidRPr="00C12C76" w:rsidRDefault="00D22C71" w:rsidP="00D22C71">
      <w:pPr>
        <w:jc w:val="both"/>
        <w:rPr>
          <w:rFonts w:ascii="Times New Roman" w:hAnsi="Times New Roman"/>
          <w:sz w:val="22"/>
          <w:szCs w:val="22"/>
          <w:lang w:val="en-US"/>
        </w:rPr>
      </w:pPr>
    </w:p>
    <w:p w14:paraId="0C8F9190" w14:textId="713F22EA" w:rsidR="00D22C71" w:rsidRDefault="00D22C71" w:rsidP="00D22C71">
      <w:pPr>
        <w:jc w:val="both"/>
        <w:rPr>
          <w:rFonts w:ascii="Times New Roman" w:hAnsi="Times New Roman"/>
          <w:sz w:val="22"/>
          <w:szCs w:val="22"/>
        </w:rPr>
      </w:pPr>
      <w:r w:rsidRPr="00D22C71">
        <w:rPr>
          <w:rFonts w:ascii="Times New Roman" w:hAnsi="Times New Roman"/>
          <w:sz w:val="22"/>
          <w:szCs w:val="22"/>
        </w:rPr>
        <w:t>Styrelsen vill genom incitamentprogrammen stimulera de anställda i Bolaget till ett långsiktigt engagemang och fortsatt goda prestationer samt öka företagets attraktivitet som arbetsgivare. En förutsättning för ett framgångsrikt genomförande av Bolagets affärsstrategi och bevarande av dess långsiktiga intressen är att Bolaget kan behålla de bästa kompetenserna och deras lojalitet, och att Bolagets anställda fortsätter att leverera bra resultat och att prestera på en hög nivå. Styrelsen finner det viktigt och i aktieägarnas intresse att de anställda i Bolaget har ett långsiktigt intresse av en positiv utveckling av Bolagets aktiekurs.</w:t>
      </w:r>
    </w:p>
    <w:p w14:paraId="1E2B61C6" w14:textId="5FA96B5D" w:rsidR="00174800" w:rsidRPr="00174800" w:rsidRDefault="00174800" w:rsidP="00D22C71">
      <w:pPr>
        <w:jc w:val="both"/>
        <w:rPr>
          <w:rFonts w:ascii="Times New Roman" w:hAnsi="Times New Roman"/>
          <w:i/>
          <w:iCs/>
          <w:sz w:val="20"/>
          <w:szCs w:val="20"/>
          <w:lang w:val="en-US"/>
        </w:rPr>
      </w:pPr>
      <w:r w:rsidRPr="00F76DD6">
        <w:rPr>
          <w:rFonts w:ascii="Times New Roman" w:hAnsi="Times New Roman"/>
          <w:i/>
          <w:iCs/>
          <w:sz w:val="20"/>
          <w:szCs w:val="20"/>
          <w:lang w:val="en-US"/>
        </w:rPr>
        <w:t xml:space="preserve">Through the incentive </w:t>
      </w:r>
      <w:r>
        <w:rPr>
          <w:rFonts w:ascii="Times New Roman" w:hAnsi="Times New Roman"/>
          <w:i/>
          <w:iCs/>
          <w:sz w:val="20"/>
          <w:szCs w:val="20"/>
          <w:lang w:val="en-US"/>
        </w:rPr>
        <w:t>scheme</w:t>
      </w:r>
      <w:r w:rsidRPr="00F76DD6">
        <w:rPr>
          <w:rFonts w:ascii="Times New Roman" w:hAnsi="Times New Roman"/>
          <w:i/>
          <w:iCs/>
          <w:sz w:val="20"/>
          <w:szCs w:val="20"/>
          <w:lang w:val="en-US"/>
        </w:rPr>
        <w:t xml:space="preserve">, the </w:t>
      </w:r>
      <w:r>
        <w:rPr>
          <w:rFonts w:ascii="Times New Roman" w:hAnsi="Times New Roman"/>
          <w:i/>
          <w:iCs/>
          <w:sz w:val="20"/>
          <w:szCs w:val="20"/>
          <w:lang w:val="en-US"/>
        </w:rPr>
        <w:t>b</w:t>
      </w:r>
      <w:r w:rsidRPr="00F76DD6">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F76DD6">
        <w:rPr>
          <w:rFonts w:ascii="Times New Roman" w:hAnsi="Times New Roman"/>
          <w:i/>
          <w:iCs/>
          <w:sz w:val="20"/>
          <w:szCs w:val="20"/>
          <w:lang w:val="en-US"/>
        </w:rPr>
        <w:t xml:space="preserve"> wants to stimulate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employees to a long-term commitment and </w:t>
      </w:r>
      <w:r>
        <w:rPr>
          <w:rFonts w:ascii="Times New Roman" w:hAnsi="Times New Roman"/>
          <w:i/>
          <w:iCs/>
          <w:sz w:val="20"/>
          <w:szCs w:val="20"/>
          <w:lang w:val="en-US"/>
        </w:rPr>
        <w:t>maintain</w:t>
      </w:r>
      <w:r w:rsidRPr="00F76DD6">
        <w:rPr>
          <w:rFonts w:ascii="Times New Roman" w:hAnsi="Times New Roman"/>
          <w:i/>
          <w:iCs/>
          <w:sz w:val="20"/>
          <w:szCs w:val="20"/>
          <w:lang w:val="en-US"/>
        </w:rPr>
        <w:t xml:space="preserve"> good performance, as well as increase the company's attractiveness as an employer.</w:t>
      </w:r>
      <w:r>
        <w:rPr>
          <w:rFonts w:ascii="Times New Roman" w:hAnsi="Times New Roman"/>
          <w:i/>
          <w:iCs/>
          <w:sz w:val="20"/>
          <w:szCs w:val="20"/>
          <w:lang w:val="en-US"/>
        </w:rPr>
        <w:t xml:space="preserve"> </w:t>
      </w:r>
      <w:r w:rsidRPr="00F76DD6">
        <w:rPr>
          <w:rFonts w:ascii="Times New Roman" w:hAnsi="Times New Roman"/>
          <w:i/>
          <w:iCs/>
          <w:sz w:val="20"/>
          <w:szCs w:val="20"/>
          <w:lang w:val="en-US"/>
        </w:rPr>
        <w:t xml:space="preserve">A prerequisite for a successful implementation of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business strategy and preservation of its long-term interests is that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 can retain the best </w:t>
      </w:r>
      <w:r>
        <w:rPr>
          <w:rFonts w:ascii="Times New Roman" w:hAnsi="Times New Roman"/>
          <w:i/>
          <w:iCs/>
          <w:sz w:val="20"/>
          <w:szCs w:val="20"/>
          <w:lang w:val="en-US"/>
        </w:rPr>
        <w:t>competences</w:t>
      </w:r>
      <w:r w:rsidRPr="00F76DD6">
        <w:rPr>
          <w:rFonts w:ascii="Times New Roman" w:hAnsi="Times New Roman"/>
          <w:i/>
          <w:iCs/>
          <w:sz w:val="20"/>
          <w:szCs w:val="20"/>
          <w:lang w:val="en-US"/>
        </w:rPr>
        <w:t xml:space="preserve"> and their loyalty, and that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employees continue to deliver good results and perform at a high level. The </w:t>
      </w:r>
      <w:r>
        <w:rPr>
          <w:rFonts w:ascii="Times New Roman" w:hAnsi="Times New Roman"/>
          <w:i/>
          <w:iCs/>
          <w:sz w:val="20"/>
          <w:szCs w:val="20"/>
          <w:lang w:val="en-US"/>
        </w:rPr>
        <w:t>b</w:t>
      </w:r>
      <w:r w:rsidRPr="00F76DD6">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F76DD6">
        <w:rPr>
          <w:rFonts w:ascii="Times New Roman" w:hAnsi="Times New Roman"/>
          <w:i/>
          <w:iCs/>
          <w:sz w:val="20"/>
          <w:szCs w:val="20"/>
          <w:lang w:val="en-US"/>
        </w:rPr>
        <w:t xml:space="preserve"> finds it important and in the interests of the shareholders that the employees of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 have a long-term interest in a positive development of the </w:t>
      </w:r>
      <w:r>
        <w:rPr>
          <w:rFonts w:ascii="Times New Roman" w:hAnsi="Times New Roman"/>
          <w:i/>
          <w:iCs/>
          <w:sz w:val="20"/>
          <w:szCs w:val="20"/>
          <w:lang w:val="en-US"/>
        </w:rPr>
        <w:t>C</w:t>
      </w:r>
      <w:r w:rsidRPr="00F76DD6">
        <w:rPr>
          <w:rFonts w:ascii="Times New Roman" w:hAnsi="Times New Roman"/>
          <w:i/>
          <w:iCs/>
          <w:sz w:val="20"/>
          <w:szCs w:val="20"/>
          <w:lang w:val="en-US"/>
        </w:rPr>
        <w:t>ompany's share price.</w:t>
      </w:r>
    </w:p>
    <w:p w14:paraId="7ACFFFB9" w14:textId="77777777" w:rsidR="00D22C71" w:rsidRPr="00174800" w:rsidRDefault="00D22C71" w:rsidP="00D22C71">
      <w:pPr>
        <w:jc w:val="both"/>
        <w:rPr>
          <w:rFonts w:ascii="Times New Roman" w:hAnsi="Times New Roman"/>
          <w:sz w:val="22"/>
          <w:szCs w:val="22"/>
          <w:lang w:val="en-US"/>
        </w:rPr>
      </w:pPr>
    </w:p>
    <w:p w14:paraId="1892682D" w14:textId="0B891B5C" w:rsidR="00D22C71" w:rsidRDefault="00D22C71" w:rsidP="00D22C71">
      <w:pPr>
        <w:jc w:val="both"/>
        <w:rPr>
          <w:rFonts w:ascii="Times New Roman" w:hAnsi="Times New Roman"/>
          <w:sz w:val="22"/>
          <w:szCs w:val="22"/>
        </w:rPr>
      </w:pPr>
      <w:r w:rsidRPr="00D22C71">
        <w:rPr>
          <w:rFonts w:ascii="Times New Roman" w:hAnsi="Times New Roman"/>
          <w:sz w:val="22"/>
          <w:szCs w:val="22"/>
        </w:rPr>
        <w:t xml:space="preserve">Till följd av att teckningsoptionerna överlåts på marknadsmässiga villkor kommer inga kostnader för arbetsgivaravgifter att åläggas Bolaget med anledning av incitamentsprogrammen. Utöver kostnader för administration, implementering, värdering och utvärdering av incitamentsprogrammen, förväntas inga ytterligare kostnader uppstå i samband med incitamentsprogrammen. </w:t>
      </w:r>
    </w:p>
    <w:p w14:paraId="25EB503F" w14:textId="27730953" w:rsidR="00033CD9" w:rsidRPr="00033CD9" w:rsidRDefault="00033CD9" w:rsidP="00D22C71">
      <w:pPr>
        <w:jc w:val="both"/>
        <w:rPr>
          <w:rFonts w:ascii="Times New Roman" w:hAnsi="Times New Roman"/>
          <w:i/>
          <w:iCs/>
          <w:sz w:val="20"/>
          <w:szCs w:val="20"/>
          <w:lang w:val="en-US"/>
        </w:rPr>
      </w:pPr>
      <w:r w:rsidRPr="005C2813">
        <w:rPr>
          <w:rFonts w:ascii="Times New Roman" w:hAnsi="Times New Roman"/>
          <w:i/>
          <w:iCs/>
          <w:sz w:val="20"/>
          <w:szCs w:val="20"/>
          <w:lang w:val="en-US"/>
        </w:rPr>
        <w:t>As a result of the warrants being transferred</w:t>
      </w:r>
      <w:r>
        <w:rPr>
          <w:rFonts w:ascii="Times New Roman" w:hAnsi="Times New Roman"/>
          <w:i/>
          <w:iCs/>
          <w:sz w:val="20"/>
          <w:szCs w:val="20"/>
          <w:lang w:val="en-US"/>
        </w:rPr>
        <w:t xml:space="preserve"> based</w:t>
      </w:r>
      <w:r w:rsidRPr="005C2813">
        <w:rPr>
          <w:rFonts w:ascii="Times New Roman" w:hAnsi="Times New Roman"/>
          <w:i/>
          <w:iCs/>
          <w:sz w:val="20"/>
          <w:szCs w:val="20"/>
          <w:lang w:val="en-US"/>
        </w:rPr>
        <w:t xml:space="preserve"> on market terms, no costs for employer contributions will be imposed on the </w:t>
      </w:r>
      <w:r>
        <w:rPr>
          <w:rFonts w:ascii="Times New Roman" w:hAnsi="Times New Roman"/>
          <w:i/>
          <w:iCs/>
          <w:sz w:val="20"/>
          <w:szCs w:val="20"/>
          <w:lang w:val="en-US"/>
        </w:rPr>
        <w:t>C</w:t>
      </w:r>
      <w:r w:rsidRPr="005C2813">
        <w:rPr>
          <w:rFonts w:ascii="Times New Roman" w:hAnsi="Times New Roman"/>
          <w:i/>
          <w:iCs/>
          <w:sz w:val="20"/>
          <w:szCs w:val="20"/>
          <w:lang w:val="en-US"/>
        </w:rPr>
        <w:t xml:space="preserve">ompany due to the incentive </w:t>
      </w:r>
      <w:r>
        <w:rPr>
          <w:rFonts w:ascii="Times New Roman" w:hAnsi="Times New Roman"/>
          <w:i/>
          <w:iCs/>
          <w:sz w:val="20"/>
          <w:szCs w:val="20"/>
          <w:lang w:val="en-US"/>
        </w:rPr>
        <w:t>scheme</w:t>
      </w:r>
      <w:r w:rsidRPr="005C2813">
        <w:rPr>
          <w:rFonts w:ascii="Times New Roman" w:hAnsi="Times New Roman"/>
          <w:i/>
          <w:iCs/>
          <w:sz w:val="20"/>
          <w:szCs w:val="20"/>
          <w:lang w:val="en-US"/>
        </w:rPr>
        <w:t>. In addition to costs for administration, implementation, valuation and evaluation of the incentive s</w:t>
      </w:r>
      <w:r>
        <w:rPr>
          <w:rFonts w:ascii="Times New Roman" w:hAnsi="Times New Roman"/>
          <w:i/>
          <w:iCs/>
          <w:sz w:val="20"/>
          <w:szCs w:val="20"/>
          <w:lang w:val="en-US"/>
        </w:rPr>
        <w:t>cheme</w:t>
      </w:r>
      <w:r w:rsidRPr="005C2813">
        <w:rPr>
          <w:rFonts w:ascii="Times New Roman" w:hAnsi="Times New Roman"/>
          <w:i/>
          <w:iCs/>
          <w:sz w:val="20"/>
          <w:szCs w:val="20"/>
          <w:lang w:val="en-US"/>
        </w:rPr>
        <w:t xml:space="preserve">, no additional costs are expected to arise in connection with the incentive </w:t>
      </w:r>
      <w:r>
        <w:rPr>
          <w:rFonts w:ascii="Times New Roman" w:hAnsi="Times New Roman"/>
          <w:i/>
          <w:iCs/>
          <w:sz w:val="20"/>
          <w:szCs w:val="20"/>
          <w:lang w:val="en-US"/>
        </w:rPr>
        <w:t>scheme.</w:t>
      </w:r>
    </w:p>
    <w:p w14:paraId="77CDA685" w14:textId="77777777" w:rsidR="00D22C71" w:rsidRPr="00033CD9" w:rsidRDefault="00D22C71" w:rsidP="00D22C71">
      <w:pPr>
        <w:jc w:val="both"/>
        <w:rPr>
          <w:rFonts w:ascii="Times New Roman" w:hAnsi="Times New Roman"/>
          <w:b/>
          <w:bCs/>
          <w:sz w:val="22"/>
          <w:szCs w:val="22"/>
          <w:lang w:val="en-US"/>
        </w:rPr>
      </w:pPr>
    </w:p>
    <w:p w14:paraId="277A36C0" w14:textId="767BFC47" w:rsidR="00D22C71" w:rsidRPr="00D22C71" w:rsidRDefault="00D22C71" w:rsidP="00D22C71">
      <w:pPr>
        <w:jc w:val="both"/>
        <w:rPr>
          <w:rFonts w:ascii="Times New Roman" w:hAnsi="Times New Roman"/>
          <w:b/>
          <w:bCs/>
          <w:sz w:val="22"/>
          <w:szCs w:val="22"/>
        </w:rPr>
      </w:pPr>
      <w:r w:rsidRPr="00D22C71">
        <w:rPr>
          <w:rFonts w:ascii="Times New Roman" w:hAnsi="Times New Roman"/>
          <w:b/>
          <w:bCs/>
          <w:sz w:val="22"/>
          <w:szCs w:val="22"/>
        </w:rPr>
        <w:t>Incitamentsprogram serie 202</w:t>
      </w:r>
      <w:r w:rsidR="00B14F22">
        <w:rPr>
          <w:rFonts w:ascii="Times New Roman" w:hAnsi="Times New Roman"/>
          <w:b/>
          <w:bCs/>
          <w:sz w:val="22"/>
          <w:szCs w:val="22"/>
        </w:rPr>
        <w:t>2</w:t>
      </w:r>
      <w:r w:rsidRPr="00D22C71">
        <w:rPr>
          <w:rFonts w:ascii="Times New Roman" w:hAnsi="Times New Roman"/>
          <w:b/>
          <w:bCs/>
          <w:sz w:val="22"/>
          <w:szCs w:val="22"/>
        </w:rPr>
        <w:t>/202</w:t>
      </w:r>
      <w:r w:rsidR="00B14F22">
        <w:rPr>
          <w:rFonts w:ascii="Times New Roman" w:hAnsi="Times New Roman"/>
          <w:b/>
          <w:bCs/>
          <w:sz w:val="22"/>
          <w:szCs w:val="22"/>
        </w:rPr>
        <w:t>5</w:t>
      </w:r>
      <w:r w:rsidR="00033CD9">
        <w:rPr>
          <w:rFonts w:ascii="Times New Roman" w:hAnsi="Times New Roman"/>
          <w:b/>
          <w:bCs/>
          <w:sz w:val="22"/>
          <w:szCs w:val="22"/>
        </w:rPr>
        <w:t xml:space="preserve"> </w:t>
      </w:r>
      <w:r w:rsidR="00D80706">
        <w:rPr>
          <w:rFonts w:ascii="Times New Roman" w:hAnsi="Times New Roman"/>
          <w:b/>
          <w:bCs/>
          <w:sz w:val="22"/>
          <w:szCs w:val="22"/>
        </w:rPr>
        <w:t xml:space="preserve">/ </w:t>
      </w:r>
      <w:r w:rsidR="00033CD9" w:rsidRPr="00DF7E9E">
        <w:rPr>
          <w:rFonts w:ascii="Times New Roman" w:hAnsi="Times New Roman"/>
          <w:b/>
          <w:bCs/>
          <w:i/>
          <w:iCs/>
          <w:sz w:val="20"/>
          <w:szCs w:val="20"/>
        </w:rPr>
        <w:t xml:space="preserve">Incentive </w:t>
      </w:r>
      <w:proofErr w:type="spellStart"/>
      <w:r w:rsidR="00033CD9" w:rsidRPr="00DF7E9E">
        <w:rPr>
          <w:rFonts w:ascii="Times New Roman" w:hAnsi="Times New Roman"/>
          <w:b/>
          <w:bCs/>
          <w:i/>
          <w:iCs/>
          <w:sz w:val="20"/>
          <w:szCs w:val="20"/>
        </w:rPr>
        <w:t>schemes</w:t>
      </w:r>
      <w:proofErr w:type="spellEnd"/>
      <w:r w:rsidR="00033CD9" w:rsidRPr="00DF7E9E">
        <w:rPr>
          <w:rFonts w:ascii="Times New Roman" w:hAnsi="Times New Roman"/>
          <w:b/>
          <w:bCs/>
          <w:i/>
          <w:iCs/>
          <w:sz w:val="20"/>
          <w:szCs w:val="20"/>
        </w:rPr>
        <w:t xml:space="preserve"> series 202</w:t>
      </w:r>
      <w:r w:rsidR="00B14F22">
        <w:rPr>
          <w:rFonts w:ascii="Times New Roman" w:hAnsi="Times New Roman"/>
          <w:b/>
          <w:bCs/>
          <w:i/>
          <w:iCs/>
          <w:sz w:val="20"/>
          <w:szCs w:val="20"/>
        </w:rPr>
        <w:t>2</w:t>
      </w:r>
      <w:r w:rsidR="00033CD9" w:rsidRPr="00DF7E9E">
        <w:rPr>
          <w:rFonts w:ascii="Times New Roman" w:hAnsi="Times New Roman"/>
          <w:b/>
          <w:bCs/>
          <w:i/>
          <w:iCs/>
          <w:sz w:val="20"/>
          <w:szCs w:val="20"/>
        </w:rPr>
        <w:t>/202</w:t>
      </w:r>
      <w:r w:rsidR="00B14F22">
        <w:rPr>
          <w:rFonts w:ascii="Times New Roman" w:hAnsi="Times New Roman"/>
          <w:b/>
          <w:bCs/>
          <w:i/>
          <w:iCs/>
          <w:sz w:val="20"/>
          <w:szCs w:val="20"/>
        </w:rPr>
        <w:t>5</w:t>
      </w:r>
    </w:p>
    <w:p w14:paraId="16933619" w14:textId="6656FC42" w:rsidR="00D22C71" w:rsidRDefault="00D22C71" w:rsidP="00D22C71">
      <w:pPr>
        <w:jc w:val="both"/>
        <w:rPr>
          <w:rFonts w:ascii="Times New Roman" w:hAnsi="Times New Roman"/>
          <w:sz w:val="22"/>
          <w:szCs w:val="22"/>
        </w:rPr>
      </w:pPr>
      <w:r w:rsidRPr="00D22C71">
        <w:rPr>
          <w:rFonts w:ascii="Times New Roman" w:hAnsi="Times New Roman"/>
          <w:sz w:val="22"/>
          <w:szCs w:val="22"/>
        </w:rPr>
        <w:t xml:space="preserve">Bolaget emitterar </w:t>
      </w:r>
      <w:r w:rsidR="00157BC5">
        <w:rPr>
          <w:rFonts w:ascii="Times New Roman" w:hAnsi="Times New Roman"/>
          <w:sz w:val="22"/>
          <w:szCs w:val="22"/>
        </w:rPr>
        <w:t xml:space="preserve">totalt </w:t>
      </w:r>
      <w:r w:rsidR="00450D6D">
        <w:rPr>
          <w:rFonts w:ascii="Times New Roman" w:hAnsi="Times New Roman"/>
          <w:sz w:val="22"/>
          <w:szCs w:val="22"/>
        </w:rPr>
        <w:t>30.000</w:t>
      </w:r>
      <w:r w:rsidR="00F31FC6">
        <w:rPr>
          <w:rFonts w:ascii="Times New Roman" w:hAnsi="Times New Roman"/>
          <w:sz w:val="22"/>
          <w:szCs w:val="22"/>
        </w:rPr>
        <w:t xml:space="preserve"> </w:t>
      </w:r>
      <w:r w:rsidRPr="00D22C71">
        <w:rPr>
          <w:rFonts w:ascii="Times New Roman" w:hAnsi="Times New Roman"/>
          <w:sz w:val="22"/>
          <w:szCs w:val="22"/>
        </w:rPr>
        <w:t>teckningsoptioner. Teckningsoptionerna emitteras vederlagsfritt till Bolaget självt</w:t>
      </w:r>
      <w:r w:rsidR="000B35AE">
        <w:rPr>
          <w:rFonts w:ascii="Times New Roman" w:hAnsi="Times New Roman"/>
          <w:sz w:val="22"/>
          <w:szCs w:val="22"/>
        </w:rPr>
        <w:t xml:space="preserve"> och teckning ska ske senast den </w:t>
      </w:r>
      <w:r w:rsidR="00B14F22">
        <w:rPr>
          <w:rFonts w:ascii="Times New Roman" w:hAnsi="Times New Roman"/>
          <w:sz w:val="22"/>
          <w:szCs w:val="22"/>
        </w:rPr>
        <w:t>22 augusti 2022</w:t>
      </w:r>
      <w:r w:rsidR="000B35AE">
        <w:rPr>
          <w:rFonts w:ascii="Times New Roman" w:hAnsi="Times New Roman"/>
          <w:sz w:val="22"/>
          <w:szCs w:val="22"/>
        </w:rPr>
        <w:t xml:space="preserve">. </w:t>
      </w:r>
      <w:r w:rsidRPr="00D22C71">
        <w:rPr>
          <w:rFonts w:ascii="Times New Roman" w:hAnsi="Times New Roman"/>
          <w:sz w:val="22"/>
          <w:szCs w:val="22"/>
        </w:rPr>
        <w:t xml:space="preserve">Överlåtelsen av teckningsoptioner från </w:t>
      </w:r>
      <w:r w:rsidR="004C61AA">
        <w:rPr>
          <w:rFonts w:ascii="Times New Roman" w:hAnsi="Times New Roman"/>
          <w:sz w:val="22"/>
          <w:szCs w:val="22"/>
        </w:rPr>
        <w:t>B</w:t>
      </w:r>
      <w:r w:rsidRPr="00D22C71">
        <w:rPr>
          <w:rFonts w:ascii="Times New Roman" w:hAnsi="Times New Roman"/>
          <w:sz w:val="22"/>
          <w:szCs w:val="22"/>
        </w:rPr>
        <w:t>olaget till Deltagarna ska ske mot betalning av en premie motsvarande teckningsoptionernas marknadsvärde per dagen för överlåtelsen, beräknat enligt ”Black &amp; Scholes”-formeln</w:t>
      </w:r>
      <w:r w:rsidR="00450D6D">
        <w:rPr>
          <w:rFonts w:ascii="Times New Roman" w:hAnsi="Times New Roman"/>
          <w:sz w:val="22"/>
          <w:szCs w:val="22"/>
        </w:rPr>
        <w:t xml:space="preserve">. </w:t>
      </w:r>
      <w:r w:rsidRPr="00D22C71">
        <w:rPr>
          <w:rFonts w:ascii="Times New Roman" w:hAnsi="Times New Roman"/>
          <w:sz w:val="22"/>
          <w:szCs w:val="22"/>
        </w:rPr>
        <w:t>Varje teckningsoption ska medföra en rätt att teckna en (1) ny aktie i Bolaget. Betalning ska erläggas samtidigt som teckning av teckningsoptionerna görs. Betalning ska ske kontant till ett av Bolaget anvisat bankkonto.</w:t>
      </w:r>
    </w:p>
    <w:p w14:paraId="308164AD" w14:textId="1FBEB9DB" w:rsidR="00706FFB" w:rsidRPr="004C61AA" w:rsidRDefault="004C61AA" w:rsidP="00D22C71">
      <w:pPr>
        <w:jc w:val="both"/>
        <w:rPr>
          <w:rFonts w:ascii="Times New Roman" w:hAnsi="Times New Roman"/>
          <w:i/>
          <w:iCs/>
          <w:sz w:val="20"/>
          <w:szCs w:val="20"/>
          <w:lang w:val="en-US"/>
        </w:rPr>
      </w:pPr>
      <w:r>
        <w:rPr>
          <w:rFonts w:ascii="Times New Roman" w:hAnsi="Times New Roman"/>
          <w:i/>
          <w:iCs/>
          <w:sz w:val="20"/>
          <w:szCs w:val="20"/>
          <w:lang w:val="en-US"/>
        </w:rPr>
        <w:t>The Company</w:t>
      </w:r>
      <w:r w:rsidR="006F16EE">
        <w:rPr>
          <w:rFonts w:ascii="Times New Roman" w:hAnsi="Times New Roman"/>
          <w:i/>
          <w:iCs/>
          <w:sz w:val="20"/>
          <w:szCs w:val="20"/>
          <w:lang w:val="en-US"/>
        </w:rPr>
        <w:t xml:space="preserve"> issues a total of </w:t>
      </w:r>
      <w:r w:rsidR="00450D6D">
        <w:rPr>
          <w:rFonts w:ascii="Times New Roman" w:hAnsi="Times New Roman"/>
          <w:i/>
          <w:iCs/>
          <w:sz w:val="20"/>
          <w:szCs w:val="20"/>
          <w:lang w:val="en-US"/>
        </w:rPr>
        <w:t>30,000</w:t>
      </w:r>
      <w:r w:rsidR="00986F1B">
        <w:rPr>
          <w:rFonts w:ascii="Times New Roman" w:hAnsi="Times New Roman"/>
          <w:i/>
          <w:iCs/>
          <w:sz w:val="20"/>
          <w:szCs w:val="20"/>
          <w:lang w:val="en-US"/>
        </w:rPr>
        <w:t xml:space="preserve"> </w:t>
      </w:r>
      <w:r w:rsidR="006F16EE">
        <w:rPr>
          <w:rFonts w:ascii="Times New Roman" w:hAnsi="Times New Roman"/>
          <w:i/>
          <w:iCs/>
          <w:sz w:val="20"/>
          <w:szCs w:val="20"/>
          <w:lang w:val="en-US"/>
        </w:rPr>
        <w:t xml:space="preserve"> warrants.</w:t>
      </w:r>
      <w:r>
        <w:rPr>
          <w:rFonts w:ascii="Times New Roman" w:hAnsi="Times New Roman"/>
          <w:i/>
          <w:iCs/>
          <w:sz w:val="20"/>
          <w:szCs w:val="20"/>
          <w:lang w:val="en-US"/>
        </w:rPr>
        <w:t xml:space="preserve"> </w:t>
      </w:r>
      <w:r w:rsidR="006F16EE" w:rsidRPr="006F16EE">
        <w:rPr>
          <w:rFonts w:ascii="Times New Roman" w:hAnsi="Times New Roman"/>
          <w:i/>
          <w:iCs/>
          <w:sz w:val="20"/>
          <w:szCs w:val="20"/>
          <w:lang w:val="en-US"/>
        </w:rPr>
        <w:t>The warrants are issued free of charge to the Company itself</w:t>
      </w:r>
      <w:r w:rsidR="000B35AE">
        <w:rPr>
          <w:rFonts w:ascii="Times New Roman" w:hAnsi="Times New Roman"/>
          <w:i/>
          <w:iCs/>
          <w:sz w:val="20"/>
          <w:szCs w:val="20"/>
          <w:lang w:val="en-US"/>
        </w:rPr>
        <w:t xml:space="preserve"> and are to be subscribed for no later than </w:t>
      </w:r>
      <w:r w:rsidR="00B14F22">
        <w:rPr>
          <w:rFonts w:ascii="Times New Roman" w:hAnsi="Times New Roman"/>
          <w:i/>
          <w:iCs/>
          <w:sz w:val="20"/>
          <w:szCs w:val="20"/>
          <w:lang w:val="en-US"/>
        </w:rPr>
        <w:t>22 August 2022</w:t>
      </w:r>
      <w:r w:rsidR="006F16EE" w:rsidRPr="006F16EE">
        <w:rPr>
          <w:rFonts w:ascii="Times New Roman" w:hAnsi="Times New Roman"/>
          <w:i/>
          <w:iCs/>
          <w:sz w:val="20"/>
          <w:szCs w:val="20"/>
          <w:lang w:val="en-US"/>
        </w:rPr>
        <w:t>.</w:t>
      </w:r>
      <w:r w:rsidR="006F16EE">
        <w:rPr>
          <w:rFonts w:ascii="Times New Roman" w:hAnsi="Times New Roman"/>
          <w:i/>
          <w:iCs/>
          <w:sz w:val="20"/>
          <w:szCs w:val="20"/>
          <w:lang w:val="en-US"/>
        </w:rPr>
        <w:t xml:space="preserve"> </w:t>
      </w:r>
      <w:r w:rsidRPr="003A24E2">
        <w:rPr>
          <w:rFonts w:ascii="Times New Roman" w:hAnsi="Times New Roman"/>
          <w:i/>
          <w:iCs/>
          <w:sz w:val="20"/>
          <w:szCs w:val="20"/>
          <w:lang w:val="en-US"/>
        </w:rPr>
        <w:t xml:space="preserve">The transfer of warrants from the </w:t>
      </w:r>
      <w:r>
        <w:rPr>
          <w:rFonts w:ascii="Times New Roman" w:hAnsi="Times New Roman"/>
          <w:i/>
          <w:iCs/>
          <w:sz w:val="20"/>
          <w:szCs w:val="20"/>
          <w:lang w:val="en-US"/>
        </w:rPr>
        <w:t>C</w:t>
      </w:r>
      <w:r w:rsidRPr="003A24E2">
        <w:rPr>
          <w:rFonts w:ascii="Times New Roman" w:hAnsi="Times New Roman"/>
          <w:i/>
          <w:iCs/>
          <w:sz w:val="20"/>
          <w:szCs w:val="20"/>
          <w:lang w:val="en-US"/>
        </w:rPr>
        <w:t xml:space="preserve">ompany to the Participants shall </w:t>
      </w:r>
      <w:r>
        <w:rPr>
          <w:rFonts w:ascii="Times New Roman" w:hAnsi="Times New Roman"/>
          <w:i/>
          <w:iCs/>
          <w:sz w:val="20"/>
          <w:szCs w:val="20"/>
          <w:lang w:val="en-US"/>
        </w:rPr>
        <w:t>be subject to</w:t>
      </w:r>
      <w:r w:rsidRPr="003A24E2">
        <w:rPr>
          <w:rFonts w:ascii="Times New Roman" w:hAnsi="Times New Roman"/>
          <w:i/>
          <w:iCs/>
          <w:sz w:val="20"/>
          <w:szCs w:val="20"/>
          <w:lang w:val="en-US"/>
        </w:rPr>
        <w:t xml:space="preserve"> payment of a premium corresponding to the market value of the warrants per day of the transfer, calculated according to the "Black &amp; Scholes" formula</w:t>
      </w:r>
      <w:r w:rsidR="00450D6D">
        <w:rPr>
          <w:rFonts w:ascii="Times New Roman" w:hAnsi="Times New Roman"/>
          <w:i/>
          <w:iCs/>
          <w:sz w:val="20"/>
          <w:szCs w:val="20"/>
          <w:lang w:val="en-US"/>
        </w:rPr>
        <w:t xml:space="preserve">. </w:t>
      </w:r>
      <w:r w:rsidRPr="003A24E2">
        <w:rPr>
          <w:rFonts w:ascii="Times New Roman" w:hAnsi="Times New Roman"/>
          <w:i/>
          <w:iCs/>
          <w:sz w:val="20"/>
          <w:szCs w:val="20"/>
          <w:lang w:val="en-US"/>
        </w:rPr>
        <w:t xml:space="preserve">Each warrant shall carry a right to subscribe for one (1) new share in the </w:t>
      </w:r>
      <w:r>
        <w:rPr>
          <w:rFonts w:ascii="Times New Roman" w:hAnsi="Times New Roman"/>
          <w:i/>
          <w:iCs/>
          <w:sz w:val="20"/>
          <w:szCs w:val="20"/>
          <w:lang w:val="en-US"/>
        </w:rPr>
        <w:t>C</w:t>
      </w:r>
      <w:r w:rsidRPr="003A24E2">
        <w:rPr>
          <w:rFonts w:ascii="Times New Roman" w:hAnsi="Times New Roman"/>
          <w:i/>
          <w:iCs/>
          <w:sz w:val="20"/>
          <w:szCs w:val="20"/>
          <w:lang w:val="en-US"/>
        </w:rPr>
        <w:t xml:space="preserve">ompany. Payment must be made at the same time as the subscription of the warrants is made. Payment must be made in cash to a bank account designated by the </w:t>
      </w:r>
      <w:r>
        <w:rPr>
          <w:rFonts w:ascii="Times New Roman" w:hAnsi="Times New Roman"/>
          <w:i/>
          <w:iCs/>
          <w:sz w:val="20"/>
          <w:szCs w:val="20"/>
          <w:lang w:val="en-US"/>
        </w:rPr>
        <w:t>C</w:t>
      </w:r>
      <w:r w:rsidRPr="003A24E2">
        <w:rPr>
          <w:rFonts w:ascii="Times New Roman" w:hAnsi="Times New Roman"/>
          <w:i/>
          <w:iCs/>
          <w:sz w:val="20"/>
          <w:szCs w:val="20"/>
          <w:lang w:val="en-US"/>
        </w:rPr>
        <w:t>ompany.</w:t>
      </w:r>
    </w:p>
    <w:p w14:paraId="288F2876" w14:textId="77777777" w:rsidR="00D22C71" w:rsidRPr="004C61AA" w:rsidRDefault="00D22C71" w:rsidP="00D22C71">
      <w:pPr>
        <w:jc w:val="both"/>
        <w:rPr>
          <w:rFonts w:ascii="Times New Roman" w:hAnsi="Times New Roman"/>
          <w:sz w:val="22"/>
          <w:szCs w:val="22"/>
          <w:lang w:val="en-US"/>
        </w:rPr>
      </w:pPr>
    </w:p>
    <w:p w14:paraId="6D2A81B5" w14:textId="33C465DF" w:rsidR="00D80706" w:rsidRDefault="00D22C71" w:rsidP="00D80706">
      <w:pPr>
        <w:jc w:val="both"/>
        <w:rPr>
          <w:rFonts w:ascii="Times New Roman" w:hAnsi="Times New Roman"/>
          <w:sz w:val="22"/>
          <w:szCs w:val="22"/>
        </w:rPr>
      </w:pPr>
      <w:r w:rsidRPr="00D22C71">
        <w:rPr>
          <w:rFonts w:ascii="Times New Roman" w:hAnsi="Times New Roman"/>
          <w:sz w:val="22"/>
          <w:szCs w:val="22"/>
        </w:rPr>
        <w:t>Rätt att teckna teckningsoptionerna tillkommer Bolaget med rätt och skyldighet att vidareöverlåta teckningsoptionerna på marknadsmässiga villkor till personer som är eller kommer bli anställda i Bolaget enligt följande fördelning:</w:t>
      </w:r>
    </w:p>
    <w:p w14:paraId="1084E90B" w14:textId="72F831AF" w:rsidR="00D80706" w:rsidRDefault="00D80706" w:rsidP="00D80706">
      <w:pPr>
        <w:jc w:val="both"/>
        <w:rPr>
          <w:rFonts w:ascii="Times New Roman" w:hAnsi="Times New Roman"/>
          <w:sz w:val="22"/>
          <w:szCs w:val="22"/>
          <w:lang w:val="en-US"/>
        </w:rPr>
      </w:pPr>
      <w:r w:rsidRPr="00EB4456">
        <w:rPr>
          <w:rFonts w:ascii="Times New Roman" w:hAnsi="Times New Roman"/>
          <w:i/>
          <w:iCs/>
          <w:sz w:val="20"/>
          <w:szCs w:val="20"/>
          <w:lang w:val="en-US"/>
        </w:rPr>
        <w:lastRenderedPageBreak/>
        <w:t xml:space="preserve">The </w:t>
      </w:r>
      <w:r>
        <w:rPr>
          <w:rFonts w:ascii="Times New Roman" w:hAnsi="Times New Roman"/>
          <w:i/>
          <w:iCs/>
          <w:sz w:val="20"/>
          <w:szCs w:val="20"/>
          <w:lang w:val="en-US"/>
        </w:rPr>
        <w:t>C</w:t>
      </w:r>
      <w:r w:rsidRPr="00EB4456">
        <w:rPr>
          <w:rFonts w:ascii="Times New Roman" w:hAnsi="Times New Roman"/>
          <w:i/>
          <w:iCs/>
          <w:sz w:val="20"/>
          <w:szCs w:val="20"/>
          <w:lang w:val="en-US"/>
        </w:rPr>
        <w:t xml:space="preserve">ompany has the right to </w:t>
      </w:r>
      <w:r>
        <w:rPr>
          <w:rFonts w:ascii="Times New Roman" w:hAnsi="Times New Roman"/>
          <w:i/>
          <w:iCs/>
          <w:sz w:val="20"/>
          <w:szCs w:val="20"/>
          <w:lang w:val="en-US"/>
        </w:rPr>
        <w:t>take up</w:t>
      </w:r>
      <w:r w:rsidRPr="00EB4456">
        <w:rPr>
          <w:rFonts w:ascii="Times New Roman" w:hAnsi="Times New Roman"/>
          <w:i/>
          <w:iCs/>
          <w:sz w:val="20"/>
          <w:szCs w:val="20"/>
          <w:lang w:val="en-US"/>
        </w:rPr>
        <w:t xml:space="preserve"> the warrants with the right and obligation to transfer the warrants on market terms to persons who are or will be employed by the </w:t>
      </w:r>
      <w:r>
        <w:rPr>
          <w:rFonts w:ascii="Times New Roman" w:hAnsi="Times New Roman"/>
          <w:i/>
          <w:iCs/>
          <w:sz w:val="20"/>
          <w:szCs w:val="20"/>
          <w:lang w:val="en-US"/>
        </w:rPr>
        <w:t>C</w:t>
      </w:r>
      <w:r w:rsidRPr="00EB4456">
        <w:rPr>
          <w:rFonts w:ascii="Times New Roman" w:hAnsi="Times New Roman"/>
          <w:i/>
          <w:iCs/>
          <w:sz w:val="20"/>
          <w:szCs w:val="20"/>
          <w:lang w:val="en-US"/>
        </w:rPr>
        <w:t>ompany</w:t>
      </w:r>
      <w:r>
        <w:rPr>
          <w:rFonts w:ascii="Times New Roman" w:hAnsi="Times New Roman"/>
          <w:i/>
          <w:iCs/>
          <w:sz w:val="20"/>
          <w:szCs w:val="20"/>
          <w:lang w:val="en-US"/>
        </w:rPr>
        <w:t>, allocated as follows:</w:t>
      </w:r>
    </w:p>
    <w:p w14:paraId="369708CD" w14:textId="77777777" w:rsidR="00D80706" w:rsidRPr="00D80706" w:rsidRDefault="00D80706" w:rsidP="00D80706">
      <w:pPr>
        <w:jc w:val="both"/>
        <w:rPr>
          <w:rFonts w:ascii="Times New Roman" w:hAnsi="Times New Roman"/>
          <w:sz w:val="22"/>
          <w:szCs w:val="22"/>
          <w:lang w:val="en-US"/>
        </w:rPr>
      </w:pPr>
    </w:p>
    <w:tbl>
      <w:tblPr>
        <w:tblStyle w:val="Tabellrutnt"/>
        <w:tblW w:w="4437" w:type="pct"/>
        <w:tblInd w:w="250" w:type="dxa"/>
        <w:tblLook w:val="04A0" w:firstRow="1" w:lastRow="0" w:firstColumn="1" w:lastColumn="0" w:noHBand="0" w:noVBand="1"/>
      </w:tblPr>
      <w:tblGrid>
        <w:gridCol w:w="3896"/>
        <w:gridCol w:w="4140"/>
      </w:tblGrid>
      <w:tr w:rsidR="00D22C71" w:rsidRPr="00D22C71" w14:paraId="5096BB27" w14:textId="77777777" w:rsidTr="00F31FC6">
        <w:trPr>
          <w:trHeight w:val="262"/>
        </w:trPr>
        <w:tc>
          <w:tcPr>
            <w:tcW w:w="2424" w:type="pct"/>
          </w:tcPr>
          <w:p w14:paraId="5CD11345" w14:textId="428628B1" w:rsidR="00D22C71" w:rsidRPr="00D22C71" w:rsidRDefault="00D22C71" w:rsidP="005812D7">
            <w:pPr>
              <w:jc w:val="both"/>
              <w:rPr>
                <w:sz w:val="22"/>
                <w:szCs w:val="22"/>
              </w:rPr>
            </w:pPr>
            <w:r w:rsidRPr="00D22C71">
              <w:rPr>
                <w:sz w:val="22"/>
                <w:szCs w:val="22"/>
              </w:rPr>
              <w:t>Kategori</w:t>
            </w:r>
            <w:r w:rsidR="00D80706">
              <w:rPr>
                <w:sz w:val="22"/>
                <w:szCs w:val="22"/>
              </w:rPr>
              <w:t xml:space="preserve"> </w:t>
            </w:r>
            <w:r w:rsidR="00D80706" w:rsidRPr="00D80706">
              <w:rPr>
                <w:i/>
                <w:iCs/>
              </w:rPr>
              <w:t>/</w:t>
            </w:r>
            <w:r w:rsidR="00D80706">
              <w:rPr>
                <w:i/>
                <w:iCs/>
              </w:rPr>
              <w:t xml:space="preserve"> </w:t>
            </w:r>
            <w:proofErr w:type="spellStart"/>
            <w:r w:rsidR="00D80706" w:rsidRPr="00D80706">
              <w:rPr>
                <w:i/>
                <w:iCs/>
              </w:rPr>
              <w:t>Category</w:t>
            </w:r>
            <w:proofErr w:type="spellEnd"/>
          </w:p>
        </w:tc>
        <w:tc>
          <w:tcPr>
            <w:tcW w:w="2576" w:type="pct"/>
          </w:tcPr>
          <w:p w14:paraId="5BDD3713" w14:textId="2706B482" w:rsidR="00D22C71" w:rsidRPr="00D22C71" w:rsidRDefault="00D22C71" w:rsidP="005812D7">
            <w:pPr>
              <w:jc w:val="both"/>
              <w:rPr>
                <w:sz w:val="22"/>
                <w:szCs w:val="22"/>
              </w:rPr>
            </w:pPr>
            <w:r w:rsidRPr="00D22C71">
              <w:rPr>
                <w:sz w:val="22"/>
                <w:szCs w:val="22"/>
              </w:rPr>
              <w:t>Maxtilldelning/person</w:t>
            </w:r>
            <w:r w:rsidR="00D80706">
              <w:rPr>
                <w:sz w:val="22"/>
                <w:szCs w:val="22"/>
              </w:rPr>
              <w:t xml:space="preserve"> </w:t>
            </w:r>
            <w:r w:rsidR="00D80706" w:rsidRPr="00D80706">
              <w:rPr>
                <w:i/>
                <w:iCs/>
              </w:rPr>
              <w:t xml:space="preserve">/ Max </w:t>
            </w:r>
            <w:proofErr w:type="spellStart"/>
            <w:r w:rsidR="00D80706" w:rsidRPr="00D80706">
              <w:rPr>
                <w:i/>
                <w:iCs/>
              </w:rPr>
              <w:t>allo</w:t>
            </w:r>
            <w:r w:rsidR="001F5B3E">
              <w:rPr>
                <w:i/>
                <w:iCs/>
              </w:rPr>
              <w:t>cation</w:t>
            </w:r>
            <w:proofErr w:type="spellEnd"/>
            <w:r w:rsidR="00D80706" w:rsidRPr="00D80706">
              <w:rPr>
                <w:i/>
                <w:iCs/>
              </w:rPr>
              <w:t>/</w:t>
            </w:r>
            <w:r w:rsidR="00336A8E">
              <w:rPr>
                <w:i/>
                <w:iCs/>
              </w:rPr>
              <w:t>person</w:t>
            </w:r>
          </w:p>
        </w:tc>
      </w:tr>
      <w:tr w:rsidR="00D22C71" w:rsidRPr="00D22C71" w14:paraId="32ECBB73" w14:textId="77777777" w:rsidTr="00F31FC6">
        <w:trPr>
          <w:trHeight w:val="262"/>
        </w:trPr>
        <w:tc>
          <w:tcPr>
            <w:tcW w:w="2424" w:type="pct"/>
          </w:tcPr>
          <w:p w14:paraId="14762FDE" w14:textId="35DC8FB7" w:rsidR="00D22C71" w:rsidRPr="00D22C71" w:rsidRDefault="00DA1D99" w:rsidP="005812D7">
            <w:pPr>
              <w:jc w:val="both"/>
              <w:rPr>
                <w:sz w:val="22"/>
                <w:szCs w:val="22"/>
              </w:rPr>
            </w:pPr>
            <w:r>
              <w:rPr>
                <w:sz w:val="22"/>
                <w:szCs w:val="22"/>
              </w:rPr>
              <w:t>Ledningsgrupp</w:t>
            </w:r>
            <w:r w:rsidR="00336A8E">
              <w:rPr>
                <w:sz w:val="22"/>
                <w:szCs w:val="22"/>
              </w:rPr>
              <w:t xml:space="preserve"> </w:t>
            </w:r>
            <w:r w:rsidR="00336A8E" w:rsidRPr="00336A8E">
              <w:rPr>
                <w:i/>
                <w:iCs/>
              </w:rPr>
              <w:t xml:space="preserve">/ Management </w:t>
            </w:r>
            <w:proofErr w:type="spellStart"/>
            <w:r w:rsidR="00336A8E" w:rsidRPr="00336A8E">
              <w:rPr>
                <w:i/>
                <w:iCs/>
              </w:rPr>
              <w:t>group</w:t>
            </w:r>
            <w:proofErr w:type="spellEnd"/>
          </w:p>
        </w:tc>
        <w:tc>
          <w:tcPr>
            <w:tcW w:w="2576" w:type="pct"/>
          </w:tcPr>
          <w:p w14:paraId="15171E29" w14:textId="4790DA3E" w:rsidR="00D22C71" w:rsidRPr="00D22C71" w:rsidRDefault="00925C5B" w:rsidP="005812D7">
            <w:pPr>
              <w:jc w:val="both"/>
              <w:rPr>
                <w:sz w:val="22"/>
                <w:szCs w:val="22"/>
              </w:rPr>
            </w:pPr>
            <w:r>
              <w:rPr>
                <w:sz w:val="22"/>
                <w:szCs w:val="22"/>
              </w:rPr>
              <w:t>4000</w:t>
            </w:r>
          </w:p>
        </w:tc>
      </w:tr>
      <w:tr w:rsidR="00D22C71" w:rsidRPr="00D22C71" w14:paraId="2533F38D" w14:textId="77777777" w:rsidTr="00F31FC6">
        <w:trPr>
          <w:trHeight w:val="246"/>
        </w:trPr>
        <w:tc>
          <w:tcPr>
            <w:tcW w:w="2424" w:type="pct"/>
          </w:tcPr>
          <w:p w14:paraId="3EDFF93A" w14:textId="2EC2BE6B" w:rsidR="00D22C71" w:rsidRPr="00D22C71" w:rsidRDefault="00D22C71" w:rsidP="005812D7">
            <w:pPr>
              <w:jc w:val="both"/>
              <w:rPr>
                <w:sz w:val="22"/>
                <w:szCs w:val="22"/>
              </w:rPr>
            </w:pPr>
            <w:r w:rsidRPr="00D22C71">
              <w:rPr>
                <w:sz w:val="22"/>
                <w:szCs w:val="22"/>
              </w:rPr>
              <w:t>Övriga nyckelpersoner</w:t>
            </w:r>
            <w:r w:rsidR="00336A8E">
              <w:rPr>
                <w:sz w:val="22"/>
                <w:szCs w:val="22"/>
              </w:rPr>
              <w:t xml:space="preserve"> </w:t>
            </w:r>
            <w:r w:rsidR="00336A8E" w:rsidRPr="00336A8E">
              <w:rPr>
                <w:i/>
                <w:iCs/>
              </w:rPr>
              <w:t xml:space="preserve">/ </w:t>
            </w:r>
            <w:proofErr w:type="spellStart"/>
            <w:r w:rsidR="00336A8E" w:rsidRPr="00336A8E">
              <w:rPr>
                <w:i/>
                <w:iCs/>
              </w:rPr>
              <w:t>Other</w:t>
            </w:r>
            <w:proofErr w:type="spellEnd"/>
            <w:r w:rsidR="00336A8E" w:rsidRPr="00336A8E">
              <w:rPr>
                <w:i/>
                <w:iCs/>
              </w:rPr>
              <w:t xml:space="preserve"> key</w:t>
            </w:r>
            <w:r w:rsidR="00336A8E" w:rsidRPr="00336A8E">
              <w:t xml:space="preserve"> </w:t>
            </w:r>
            <w:r w:rsidR="00336A8E">
              <w:t>persons</w:t>
            </w:r>
          </w:p>
        </w:tc>
        <w:tc>
          <w:tcPr>
            <w:tcW w:w="2576" w:type="pct"/>
          </w:tcPr>
          <w:p w14:paraId="316906BB" w14:textId="7D1384C7" w:rsidR="00D22C71" w:rsidRPr="00D22C71" w:rsidRDefault="00925C5B" w:rsidP="005812D7">
            <w:pPr>
              <w:jc w:val="both"/>
              <w:rPr>
                <w:sz w:val="22"/>
                <w:szCs w:val="22"/>
              </w:rPr>
            </w:pPr>
            <w:r>
              <w:rPr>
                <w:sz w:val="22"/>
                <w:szCs w:val="22"/>
              </w:rPr>
              <w:t>3000</w:t>
            </w:r>
          </w:p>
        </w:tc>
      </w:tr>
    </w:tbl>
    <w:p w14:paraId="551323DD" w14:textId="77777777" w:rsidR="00D22C71" w:rsidRPr="00D22C71" w:rsidRDefault="00D22C71" w:rsidP="00D22C71">
      <w:pPr>
        <w:jc w:val="both"/>
        <w:rPr>
          <w:rFonts w:ascii="Times New Roman" w:hAnsi="Times New Roman"/>
          <w:sz w:val="22"/>
          <w:szCs w:val="22"/>
        </w:rPr>
      </w:pPr>
    </w:p>
    <w:p w14:paraId="5A53C59A" w14:textId="243F93C4" w:rsidR="00D22C71" w:rsidRDefault="00D22C71" w:rsidP="00D22C71">
      <w:pPr>
        <w:jc w:val="both"/>
        <w:rPr>
          <w:rFonts w:ascii="Times New Roman" w:hAnsi="Times New Roman"/>
          <w:sz w:val="22"/>
          <w:szCs w:val="22"/>
        </w:rPr>
      </w:pPr>
      <w:r w:rsidRPr="00D22C71">
        <w:rPr>
          <w:rFonts w:ascii="Times New Roman" w:hAnsi="Times New Roman"/>
          <w:sz w:val="22"/>
          <w:szCs w:val="22"/>
        </w:rPr>
        <w:t xml:space="preserve">De personer som har rätt att förvärva teckningsoptionerna ska anmäla hur många optioner som de önskar förvärva och får vid tilldelning det antal som de önskat förvärva förutsatt att överteckning inte sker och att önskat antal inte överskrider ovan angiven maxtilldelning. Maximal tilldelning enligt tabellen ovan kan emellertid inte garanteras. Vid överteckning får Bolagets styrelse </w:t>
      </w:r>
      <w:proofErr w:type="spellStart"/>
      <w:r w:rsidRPr="00D22C71">
        <w:rPr>
          <w:rFonts w:ascii="Times New Roman" w:hAnsi="Times New Roman"/>
          <w:sz w:val="22"/>
          <w:szCs w:val="22"/>
        </w:rPr>
        <w:t>diskretionärt</w:t>
      </w:r>
      <w:proofErr w:type="spellEnd"/>
      <w:r w:rsidRPr="00D22C71">
        <w:rPr>
          <w:rFonts w:ascii="Times New Roman" w:hAnsi="Times New Roman"/>
          <w:sz w:val="22"/>
          <w:szCs w:val="22"/>
        </w:rPr>
        <w:t xml:space="preserve"> besluta om slutlig tilldelning inom de ramar som anges ovan.</w:t>
      </w:r>
    </w:p>
    <w:p w14:paraId="361493AE" w14:textId="108964DB" w:rsidR="001F5B3E" w:rsidRPr="0039046D" w:rsidRDefault="001F5B3E" w:rsidP="00D22C71">
      <w:pPr>
        <w:jc w:val="both"/>
        <w:rPr>
          <w:rFonts w:ascii="Times New Roman" w:hAnsi="Times New Roman"/>
          <w:i/>
          <w:iCs/>
          <w:sz w:val="20"/>
          <w:szCs w:val="20"/>
          <w:lang w:val="en-US"/>
        </w:rPr>
      </w:pPr>
      <w:r w:rsidRPr="0039046D">
        <w:rPr>
          <w:rFonts w:ascii="Times New Roman" w:hAnsi="Times New Roman"/>
          <w:i/>
          <w:iCs/>
          <w:sz w:val="20"/>
          <w:szCs w:val="20"/>
          <w:lang w:val="en-US"/>
        </w:rPr>
        <w:t>The persons who have the right to acquire the warrants must notify how many warrants they wish to acquire and will receive the number they wish to acquire upon allotment, provided that the over-subscription does not take place and that the desired number does not exceed the above-specified maximum allocation. However, maximum allocation according to the table above cannot be guaranteed. In the event of over</w:t>
      </w:r>
      <w:r w:rsidR="0039046D" w:rsidRPr="0039046D">
        <w:rPr>
          <w:rFonts w:ascii="Times New Roman" w:hAnsi="Times New Roman"/>
          <w:i/>
          <w:iCs/>
          <w:sz w:val="20"/>
          <w:szCs w:val="20"/>
          <w:lang w:val="en-US"/>
        </w:rPr>
        <w:t>-</w:t>
      </w:r>
      <w:r w:rsidRPr="0039046D">
        <w:rPr>
          <w:rFonts w:ascii="Times New Roman" w:hAnsi="Times New Roman"/>
          <w:i/>
          <w:iCs/>
          <w:sz w:val="20"/>
          <w:szCs w:val="20"/>
          <w:lang w:val="en-US"/>
        </w:rPr>
        <w:t xml:space="preserve">subscription, the Company's board of directors may at its </w:t>
      </w:r>
      <w:r w:rsidR="0039046D" w:rsidRPr="0039046D">
        <w:rPr>
          <w:rFonts w:ascii="Times New Roman" w:hAnsi="Times New Roman"/>
          <w:i/>
          <w:iCs/>
          <w:sz w:val="20"/>
          <w:szCs w:val="20"/>
          <w:lang w:val="en-US"/>
        </w:rPr>
        <w:t xml:space="preserve">sole </w:t>
      </w:r>
      <w:r w:rsidRPr="0039046D">
        <w:rPr>
          <w:rFonts w:ascii="Times New Roman" w:hAnsi="Times New Roman"/>
          <w:i/>
          <w:iCs/>
          <w:sz w:val="20"/>
          <w:szCs w:val="20"/>
          <w:lang w:val="en-US"/>
        </w:rPr>
        <w:t>discretion decide on the final allotment within the framework specified above.</w:t>
      </w:r>
    </w:p>
    <w:p w14:paraId="5AD0897F" w14:textId="77777777" w:rsidR="00D22C71" w:rsidRPr="001F5B3E" w:rsidRDefault="00D22C71" w:rsidP="00D22C71">
      <w:pPr>
        <w:jc w:val="both"/>
        <w:rPr>
          <w:rFonts w:ascii="Times New Roman" w:hAnsi="Times New Roman"/>
          <w:sz w:val="22"/>
          <w:szCs w:val="22"/>
          <w:lang w:val="en-US"/>
        </w:rPr>
      </w:pPr>
    </w:p>
    <w:p w14:paraId="0D37C434" w14:textId="0AEF2C60" w:rsidR="00D22C71" w:rsidRDefault="00D22C71" w:rsidP="00D22C71">
      <w:pPr>
        <w:jc w:val="both"/>
        <w:rPr>
          <w:rFonts w:ascii="Times New Roman" w:hAnsi="Times New Roman"/>
          <w:sz w:val="22"/>
          <w:szCs w:val="22"/>
        </w:rPr>
      </w:pPr>
      <w:r w:rsidRPr="00D22C71">
        <w:rPr>
          <w:rFonts w:ascii="Times New Roman" w:hAnsi="Times New Roman"/>
          <w:sz w:val="22"/>
          <w:szCs w:val="22"/>
        </w:rPr>
        <w:t xml:space="preserve">Bolagsstämman godkänner Bolagets vidareöverlåtelse av teckningsoptionerna enligt ovan. </w:t>
      </w:r>
    </w:p>
    <w:p w14:paraId="148616C6" w14:textId="772470BC" w:rsidR="00336A8E" w:rsidRPr="00336A8E" w:rsidRDefault="00336A8E" w:rsidP="00D22C71">
      <w:pPr>
        <w:jc w:val="both"/>
        <w:rPr>
          <w:rFonts w:ascii="Times New Roman" w:hAnsi="Times New Roman"/>
          <w:sz w:val="22"/>
          <w:szCs w:val="22"/>
          <w:lang w:val="en-US"/>
        </w:rPr>
      </w:pPr>
      <w:r w:rsidRPr="004C60FC">
        <w:rPr>
          <w:rFonts w:ascii="Times New Roman" w:hAnsi="Times New Roman"/>
          <w:i/>
          <w:iCs/>
          <w:sz w:val="20"/>
          <w:szCs w:val="20"/>
          <w:lang w:val="en-US"/>
        </w:rPr>
        <w:t xml:space="preserve">The general meeting approves the </w:t>
      </w:r>
      <w:r>
        <w:rPr>
          <w:rFonts w:ascii="Times New Roman" w:hAnsi="Times New Roman"/>
          <w:i/>
          <w:iCs/>
          <w:sz w:val="20"/>
          <w:szCs w:val="20"/>
          <w:lang w:val="en-US"/>
        </w:rPr>
        <w:t>c</w:t>
      </w:r>
      <w:r w:rsidRPr="004C60FC">
        <w:rPr>
          <w:rFonts w:ascii="Times New Roman" w:hAnsi="Times New Roman"/>
          <w:i/>
          <w:iCs/>
          <w:sz w:val="20"/>
          <w:szCs w:val="20"/>
          <w:lang w:val="en-US"/>
        </w:rPr>
        <w:t>ompany's transfer of the warrants as described above.</w:t>
      </w:r>
    </w:p>
    <w:p w14:paraId="2F6EA40E" w14:textId="77777777" w:rsidR="00D22C71" w:rsidRPr="00336A8E" w:rsidRDefault="00D22C71" w:rsidP="00D22C71">
      <w:pPr>
        <w:jc w:val="both"/>
        <w:rPr>
          <w:rFonts w:ascii="Times New Roman" w:hAnsi="Times New Roman"/>
          <w:sz w:val="22"/>
          <w:szCs w:val="22"/>
          <w:lang w:val="en-US"/>
        </w:rPr>
      </w:pPr>
    </w:p>
    <w:p w14:paraId="42988A86" w14:textId="73B97C83" w:rsidR="00D22C71" w:rsidRDefault="00D22C71" w:rsidP="00D22C71">
      <w:pPr>
        <w:jc w:val="both"/>
        <w:rPr>
          <w:rFonts w:ascii="Times New Roman" w:hAnsi="Times New Roman"/>
          <w:sz w:val="22"/>
          <w:szCs w:val="22"/>
        </w:rPr>
      </w:pPr>
      <w:r w:rsidRPr="00D22C71">
        <w:rPr>
          <w:rFonts w:ascii="Times New Roman" w:hAnsi="Times New Roman"/>
          <w:sz w:val="22"/>
          <w:szCs w:val="22"/>
        </w:rPr>
        <w:t xml:space="preserve">Teckning av aktier i enlighet med villkoren för teckningsoptionerna kan ske under perioden </w:t>
      </w:r>
      <w:r w:rsidR="001B75A6">
        <w:rPr>
          <w:rFonts w:ascii="Times New Roman" w:hAnsi="Times New Roman"/>
          <w:sz w:val="22"/>
          <w:szCs w:val="22"/>
        </w:rPr>
        <w:t xml:space="preserve">1 </w:t>
      </w:r>
      <w:r w:rsidR="00DA1D99">
        <w:rPr>
          <w:rFonts w:ascii="Times New Roman" w:hAnsi="Times New Roman"/>
          <w:sz w:val="22"/>
          <w:szCs w:val="22"/>
        </w:rPr>
        <w:t>dec</w:t>
      </w:r>
      <w:r w:rsidR="001B75A6">
        <w:rPr>
          <w:rFonts w:ascii="Times New Roman" w:hAnsi="Times New Roman"/>
          <w:sz w:val="22"/>
          <w:szCs w:val="22"/>
        </w:rPr>
        <w:t>ember 202</w:t>
      </w:r>
      <w:r w:rsidR="00B14F22">
        <w:rPr>
          <w:rFonts w:ascii="Times New Roman" w:hAnsi="Times New Roman"/>
          <w:sz w:val="22"/>
          <w:szCs w:val="22"/>
        </w:rPr>
        <w:t>5</w:t>
      </w:r>
      <w:r w:rsidRPr="00D22C71">
        <w:rPr>
          <w:rFonts w:ascii="Times New Roman" w:hAnsi="Times New Roman"/>
          <w:sz w:val="22"/>
          <w:szCs w:val="22"/>
        </w:rPr>
        <w:t xml:space="preserve"> – </w:t>
      </w:r>
      <w:r w:rsidR="001B75A6">
        <w:rPr>
          <w:rFonts w:ascii="Times New Roman" w:hAnsi="Times New Roman"/>
          <w:sz w:val="22"/>
          <w:szCs w:val="22"/>
        </w:rPr>
        <w:t>31 december 202</w:t>
      </w:r>
      <w:r w:rsidR="00B14F22">
        <w:rPr>
          <w:rFonts w:ascii="Times New Roman" w:hAnsi="Times New Roman"/>
          <w:sz w:val="22"/>
          <w:szCs w:val="22"/>
        </w:rPr>
        <w:t>5</w:t>
      </w:r>
      <w:r w:rsidR="005858D3">
        <w:rPr>
          <w:rFonts w:ascii="Times New Roman" w:hAnsi="Times New Roman"/>
          <w:sz w:val="22"/>
          <w:szCs w:val="22"/>
        </w:rPr>
        <w:t xml:space="preserve"> och teckningspriset per aktie ska vara </w:t>
      </w:r>
      <w:r w:rsidR="00B14F22">
        <w:rPr>
          <w:rFonts w:ascii="Times New Roman" w:hAnsi="Times New Roman"/>
          <w:sz w:val="22"/>
          <w:szCs w:val="22"/>
        </w:rPr>
        <w:t>60</w:t>
      </w:r>
      <w:r w:rsidR="007767FE">
        <w:rPr>
          <w:rFonts w:ascii="Times New Roman" w:hAnsi="Times New Roman"/>
          <w:sz w:val="22"/>
          <w:szCs w:val="22"/>
        </w:rPr>
        <w:t xml:space="preserve">0 </w:t>
      </w:r>
      <w:r w:rsidR="00DA1D99">
        <w:rPr>
          <w:rFonts w:ascii="Times New Roman" w:hAnsi="Times New Roman"/>
          <w:sz w:val="22"/>
          <w:szCs w:val="22"/>
        </w:rPr>
        <w:t>kronor</w:t>
      </w:r>
      <w:r w:rsidR="005858D3">
        <w:rPr>
          <w:rFonts w:ascii="Times New Roman" w:hAnsi="Times New Roman"/>
          <w:sz w:val="22"/>
          <w:szCs w:val="22"/>
        </w:rPr>
        <w:t xml:space="preserve">. </w:t>
      </w:r>
      <w:r w:rsidRPr="00D22C71">
        <w:rPr>
          <w:rFonts w:ascii="Times New Roman" w:hAnsi="Times New Roman"/>
          <w:sz w:val="22"/>
          <w:szCs w:val="22"/>
        </w:rPr>
        <w:t>De nya aktierna ger rätt till utdelning från det räkenskapsår då de på avstämningsdagen för att äga rätt att motta utdelning, är införda i Bolagets aktiebok.</w:t>
      </w:r>
    </w:p>
    <w:p w14:paraId="2D51C2E4" w14:textId="4B3FC1E8" w:rsidR="003B5EE7" w:rsidRPr="003B5EE7" w:rsidRDefault="003B5EE7" w:rsidP="00D22C71">
      <w:pPr>
        <w:jc w:val="both"/>
        <w:rPr>
          <w:rFonts w:ascii="Times New Roman" w:hAnsi="Times New Roman"/>
          <w:i/>
          <w:iCs/>
          <w:sz w:val="20"/>
          <w:szCs w:val="20"/>
          <w:lang w:val="en-US"/>
        </w:rPr>
      </w:pPr>
      <w:r w:rsidRPr="003B5EE7">
        <w:rPr>
          <w:rFonts w:ascii="Times New Roman" w:hAnsi="Times New Roman"/>
          <w:i/>
          <w:iCs/>
          <w:sz w:val="20"/>
          <w:szCs w:val="20"/>
          <w:lang w:val="en-US"/>
        </w:rPr>
        <w:t>Subscription of shares in accordance with the terms of the warrants may take place during the period 1 December 202</w:t>
      </w:r>
      <w:r w:rsidR="00B14F22">
        <w:rPr>
          <w:rFonts w:ascii="Times New Roman" w:hAnsi="Times New Roman"/>
          <w:i/>
          <w:iCs/>
          <w:sz w:val="20"/>
          <w:szCs w:val="20"/>
          <w:lang w:val="en-US"/>
        </w:rPr>
        <w:t>5</w:t>
      </w:r>
      <w:r w:rsidRPr="003B5EE7">
        <w:rPr>
          <w:rFonts w:ascii="Times New Roman" w:hAnsi="Times New Roman"/>
          <w:i/>
          <w:iCs/>
          <w:sz w:val="20"/>
          <w:szCs w:val="20"/>
          <w:lang w:val="en-US"/>
        </w:rPr>
        <w:t xml:space="preserve"> - 31 December 202</w:t>
      </w:r>
      <w:r w:rsidR="00B14F22">
        <w:rPr>
          <w:rFonts w:ascii="Times New Roman" w:hAnsi="Times New Roman"/>
          <w:i/>
          <w:iCs/>
          <w:sz w:val="20"/>
          <w:szCs w:val="20"/>
          <w:lang w:val="en-US"/>
        </w:rPr>
        <w:t>5</w:t>
      </w:r>
      <w:r w:rsidRPr="003B5EE7">
        <w:rPr>
          <w:rFonts w:ascii="Times New Roman" w:hAnsi="Times New Roman"/>
          <w:i/>
          <w:iCs/>
          <w:sz w:val="20"/>
          <w:szCs w:val="20"/>
          <w:lang w:val="en-US"/>
        </w:rPr>
        <w:t xml:space="preserve"> and the subscription price per share shall be SEK </w:t>
      </w:r>
      <w:r w:rsidR="00B14F22">
        <w:rPr>
          <w:rFonts w:ascii="Times New Roman" w:hAnsi="Times New Roman"/>
          <w:i/>
          <w:iCs/>
          <w:sz w:val="20"/>
          <w:szCs w:val="20"/>
          <w:lang w:val="en-US"/>
        </w:rPr>
        <w:t>60</w:t>
      </w:r>
      <w:r w:rsidR="007767FE">
        <w:rPr>
          <w:rFonts w:ascii="Times New Roman" w:hAnsi="Times New Roman"/>
          <w:i/>
          <w:iCs/>
          <w:sz w:val="20"/>
          <w:szCs w:val="20"/>
          <w:lang w:val="en-US"/>
        </w:rPr>
        <w:t xml:space="preserve">0. </w:t>
      </w:r>
      <w:r w:rsidRPr="003B5EE7">
        <w:rPr>
          <w:rFonts w:ascii="Times New Roman" w:hAnsi="Times New Roman"/>
          <w:i/>
          <w:iCs/>
          <w:sz w:val="20"/>
          <w:szCs w:val="20"/>
          <w:lang w:val="en-US"/>
        </w:rPr>
        <w:t>The new shares entitle to a dividend from the financial year in which they are</w:t>
      </w:r>
      <w:r w:rsidR="00A576D7">
        <w:rPr>
          <w:rFonts w:ascii="Times New Roman" w:hAnsi="Times New Roman"/>
          <w:i/>
          <w:iCs/>
          <w:sz w:val="20"/>
          <w:szCs w:val="20"/>
          <w:lang w:val="en-US"/>
        </w:rPr>
        <w:t xml:space="preserve">, </w:t>
      </w:r>
      <w:r w:rsidR="00A576D7" w:rsidRPr="003B5EE7">
        <w:rPr>
          <w:rFonts w:ascii="Times New Roman" w:hAnsi="Times New Roman"/>
          <w:i/>
          <w:iCs/>
          <w:sz w:val="20"/>
          <w:szCs w:val="20"/>
          <w:lang w:val="en-US"/>
        </w:rPr>
        <w:t>to be entitled to receive a dividend</w:t>
      </w:r>
      <w:r w:rsidR="00A576D7">
        <w:rPr>
          <w:rFonts w:ascii="Times New Roman" w:hAnsi="Times New Roman"/>
          <w:i/>
          <w:iCs/>
          <w:sz w:val="20"/>
          <w:szCs w:val="20"/>
          <w:lang w:val="en-US"/>
        </w:rPr>
        <w:t>, on the record date,</w:t>
      </w:r>
      <w:r w:rsidRPr="003B5EE7">
        <w:rPr>
          <w:rFonts w:ascii="Times New Roman" w:hAnsi="Times New Roman"/>
          <w:i/>
          <w:iCs/>
          <w:sz w:val="20"/>
          <w:szCs w:val="20"/>
          <w:lang w:val="en-US"/>
        </w:rPr>
        <w:t xml:space="preserve"> entered in the Company's share register</w:t>
      </w:r>
      <w:r w:rsidR="00A576D7">
        <w:rPr>
          <w:rFonts w:ascii="Times New Roman" w:hAnsi="Times New Roman"/>
          <w:i/>
          <w:iCs/>
          <w:sz w:val="20"/>
          <w:szCs w:val="20"/>
          <w:lang w:val="en-US"/>
        </w:rPr>
        <w:t>.</w:t>
      </w:r>
    </w:p>
    <w:p w14:paraId="7106FD8F" w14:textId="77777777" w:rsidR="00D22C71" w:rsidRPr="003B5EE7" w:rsidRDefault="00D22C71" w:rsidP="00D22C71">
      <w:pPr>
        <w:jc w:val="both"/>
        <w:rPr>
          <w:rFonts w:ascii="Times New Roman" w:hAnsi="Times New Roman"/>
          <w:sz w:val="22"/>
          <w:szCs w:val="22"/>
          <w:lang w:val="en-US"/>
        </w:rPr>
      </w:pPr>
    </w:p>
    <w:p w14:paraId="343A50B5" w14:textId="4C05CF16" w:rsidR="00D22C71" w:rsidRDefault="00D22C71" w:rsidP="00D22C71">
      <w:pPr>
        <w:jc w:val="both"/>
        <w:rPr>
          <w:rFonts w:ascii="Times New Roman" w:hAnsi="Times New Roman"/>
          <w:sz w:val="22"/>
          <w:szCs w:val="22"/>
        </w:rPr>
      </w:pPr>
      <w:r w:rsidRPr="00D22C71">
        <w:rPr>
          <w:rFonts w:ascii="Times New Roman" w:hAnsi="Times New Roman"/>
          <w:sz w:val="22"/>
          <w:szCs w:val="22"/>
        </w:rPr>
        <w:t>Skälet till avvikelsen från aktieägarnas företrädesrätt är att teckningsoptionerna utgör ett incitamentsprogram för personer som är eller kommer att bli anställda i Bolaget. Styrelsen anser att incitamentsprogrammet främjar Bolagets långsiktiga finansiella intressen genom att uppmuntra anställda till ett ägarintresse i Bolaget.</w:t>
      </w:r>
    </w:p>
    <w:p w14:paraId="15E66353" w14:textId="0A9FEBD4" w:rsidR="00336A8E" w:rsidRPr="00336A8E" w:rsidRDefault="00336A8E" w:rsidP="00D22C71">
      <w:pPr>
        <w:jc w:val="both"/>
        <w:rPr>
          <w:rFonts w:ascii="Times New Roman" w:hAnsi="Times New Roman"/>
          <w:sz w:val="22"/>
          <w:szCs w:val="22"/>
          <w:lang w:val="en-US"/>
        </w:rPr>
      </w:pPr>
      <w:r w:rsidRPr="006D4260">
        <w:rPr>
          <w:rFonts w:ascii="Times New Roman" w:hAnsi="Times New Roman"/>
          <w:i/>
          <w:iCs/>
          <w:sz w:val="20"/>
          <w:szCs w:val="20"/>
          <w:lang w:val="en-US"/>
        </w:rPr>
        <w:t>The reason for the deviation from the shareholders' pre</w:t>
      </w:r>
      <w:r>
        <w:rPr>
          <w:rFonts w:ascii="Times New Roman" w:hAnsi="Times New Roman"/>
          <w:i/>
          <w:iCs/>
          <w:sz w:val="20"/>
          <w:szCs w:val="20"/>
          <w:lang w:val="en-US"/>
        </w:rPr>
        <w:t>-emption</w:t>
      </w:r>
      <w:r w:rsidRPr="006D4260">
        <w:rPr>
          <w:rFonts w:ascii="Times New Roman" w:hAnsi="Times New Roman"/>
          <w:i/>
          <w:iCs/>
          <w:sz w:val="20"/>
          <w:szCs w:val="20"/>
          <w:lang w:val="en-US"/>
        </w:rPr>
        <w:t xml:space="preserve"> rights is that the warrants constitute an incentive </w:t>
      </w:r>
      <w:r>
        <w:rPr>
          <w:rFonts w:ascii="Times New Roman" w:hAnsi="Times New Roman"/>
          <w:i/>
          <w:iCs/>
          <w:sz w:val="20"/>
          <w:szCs w:val="20"/>
          <w:lang w:val="en-US"/>
        </w:rPr>
        <w:t>scheme</w:t>
      </w:r>
      <w:r w:rsidRPr="006D4260">
        <w:rPr>
          <w:rFonts w:ascii="Times New Roman" w:hAnsi="Times New Roman"/>
          <w:i/>
          <w:iCs/>
          <w:sz w:val="20"/>
          <w:szCs w:val="20"/>
          <w:lang w:val="en-US"/>
        </w:rPr>
        <w:t xml:space="preserve"> for persons who are or will be employed by the </w:t>
      </w:r>
      <w:r>
        <w:rPr>
          <w:rFonts w:ascii="Times New Roman" w:hAnsi="Times New Roman"/>
          <w:i/>
          <w:iCs/>
          <w:sz w:val="20"/>
          <w:szCs w:val="20"/>
          <w:lang w:val="en-US"/>
        </w:rPr>
        <w:t>C</w:t>
      </w:r>
      <w:r w:rsidRPr="006D4260">
        <w:rPr>
          <w:rFonts w:ascii="Times New Roman" w:hAnsi="Times New Roman"/>
          <w:i/>
          <w:iCs/>
          <w:sz w:val="20"/>
          <w:szCs w:val="20"/>
          <w:lang w:val="en-US"/>
        </w:rPr>
        <w:t xml:space="preserve">ompany. The </w:t>
      </w:r>
      <w:r>
        <w:rPr>
          <w:rFonts w:ascii="Times New Roman" w:hAnsi="Times New Roman"/>
          <w:i/>
          <w:iCs/>
          <w:sz w:val="20"/>
          <w:szCs w:val="20"/>
          <w:lang w:val="en-US"/>
        </w:rPr>
        <w:t>b</w:t>
      </w:r>
      <w:r w:rsidRPr="006D4260">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6D4260">
        <w:rPr>
          <w:rFonts w:ascii="Times New Roman" w:hAnsi="Times New Roman"/>
          <w:i/>
          <w:iCs/>
          <w:sz w:val="20"/>
          <w:szCs w:val="20"/>
          <w:lang w:val="en-US"/>
        </w:rPr>
        <w:t xml:space="preserve"> believes that the incentive </w:t>
      </w:r>
      <w:r>
        <w:rPr>
          <w:rFonts w:ascii="Times New Roman" w:hAnsi="Times New Roman"/>
          <w:i/>
          <w:iCs/>
          <w:sz w:val="20"/>
          <w:szCs w:val="20"/>
          <w:lang w:val="en-US"/>
        </w:rPr>
        <w:t>schemes</w:t>
      </w:r>
      <w:r w:rsidRPr="006D4260">
        <w:rPr>
          <w:rFonts w:ascii="Times New Roman" w:hAnsi="Times New Roman"/>
          <w:i/>
          <w:iCs/>
          <w:sz w:val="20"/>
          <w:szCs w:val="20"/>
          <w:lang w:val="en-US"/>
        </w:rPr>
        <w:t xml:space="preserve"> promotes the </w:t>
      </w:r>
      <w:r w:rsidR="00706FFB">
        <w:rPr>
          <w:rFonts w:ascii="Times New Roman" w:hAnsi="Times New Roman"/>
          <w:i/>
          <w:iCs/>
          <w:sz w:val="20"/>
          <w:szCs w:val="20"/>
          <w:lang w:val="en-US"/>
        </w:rPr>
        <w:t>C</w:t>
      </w:r>
      <w:r w:rsidRPr="006D4260">
        <w:rPr>
          <w:rFonts w:ascii="Times New Roman" w:hAnsi="Times New Roman"/>
          <w:i/>
          <w:iCs/>
          <w:sz w:val="20"/>
          <w:szCs w:val="20"/>
          <w:lang w:val="en-US"/>
        </w:rPr>
        <w:t xml:space="preserve">ompany's long-term financial interests by encouraging employees to take an ownership interest in the </w:t>
      </w:r>
      <w:r w:rsidR="00706FFB">
        <w:rPr>
          <w:rFonts w:ascii="Times New Roman" w:hAnsi="Times New Roman"/>
          <w:i/>
          <w:iCs/>
          <w:sz w:val="20"/>
          <w:szCs w:val="20"/>
          <w:lang w:val="en-US"/>
        </w:rPr>
        <w:t>C</w:t>
      </w:r>
      <w:r w:rsidRPr="006D4260">
        <w:rPr>
          <w:rFonts w:ascii="Times New Roman" w:hAnsi="Times New Roman"/>
          <w:i/>
          <w:iCs/>
          <w:sz w:val="20"/>
          <w:szCs w:val="20"/>
          <w:lang w:val="en-US"/>
        </w:rPr>
        <w:t>ompany</w:t>
      </w:r>
      <w:r>
        <w:rPr>
          <w:rFonts w:ascii="Times New Roman" w:hAnsi="Times New Roman"/>
          <w:sz w:val="22"/>
          <w:szCs w:val="22"/>
          <w:lang w:val="en-US"/>
        </w:rPr>
        <w:t>.</w:t>
      </w:r>
    </w:p>
    <w:p w14:paraId="3C37100A" w14:textId="77777777" w:rsidR="00D22C71" w:rsidRPr="00336A8E" w:rsidRDefault="00D22C71" w:rsidP="00D22C71">
      <w:pPr>
        <w:jc w:val="both"/>
        <w:rPr>
          <w:rFonts w:ascii="Times New Roman" w:hAnsi="Times New Roman"/>
          <w:sz w:val="22"/>
          <w:szCs w:val="22"/>
          <w:lang w:val="en-US"/>
        </w:rPr>
      </w:pPr>
    </w:p>
    <w:p w14:paraId="7A8C3177" w14:textId="2F3573C9" w:rsidR="005D1403" w:rsidRDefault="005D1403" w:rsidP="005D1403">
      <w:pPr>
        <w:jc w:val="both"/>
        <w:rPr>
          <w:rFonts w:ascii="Times New Roman" w:hAnsi="Times New Roman"/>
          <w:sz w:val="22"/>
          <w:szCs w:val="22"/>
        </w:rPr>
      </w:pPr>
      <w:r w:rsidRPr="00D22C71">
        <w:rPr>
          <w:rFonts w:ascii="Times New Roman" w:hAnsi="Times New Roman"/>
          <w:sz w:val="22"/>
          <w:szCs w:val="22"/>
        </w:rPr>
        <w:t xml:space="preserve">Vid fullt utnyttjande av samtliga teckningsoptioner kommer Bolagets aktiekapital att öka med totalt </w:t>
      </w:r>
      <w:r w:rsidR="00986F1B">
        <w:rPr>
          <w:rFonts w:ascii="Times New Roman" w:hAnsi="Times New Roman"/>
          <w:sz w:val="22"/>
          <w:szCs w:val="22"/>
        </w:rPr>
        <w:t>38.719,67 kronor</w:t>
      </w:r>
      <w:r w:rsidRPr="00D22C71">
        <w:rPr>
          <w:rFonts w:ascii="Times New Roman" w:hAnsi="Times New Roman"/>
          <w:sz w:val="22"/>
          <w:szCs w:val="22"/>
        </w:rPr>
        <w:t>.</w:t>
      </w:r>
    </w:p>
    <w:p w14:paraId="533266D8" w14:textId="6BF8323E" w:rsidR="00706FFB" w:rsidRPr="003B5EE7" w:rsidRDefault="003B5EE7" w:rsidP="005D1403">
      <w:pPr>
        <w:jc w:val="both"/>
        <w:rPr>
          <w:rFonts w:ascii="Times New Roman" w:hAnsi="Times New Roman"/>
          <w:i/>
          <w:iCs/>
          <w:sz w:val="20"/>
          <w:szCs w:val="20"/>
          <w:lang w:val="en-US"/>
        </w:rPr>
      </w:pPr>
      <w:r w:rsidRPr="003B5EE7">
        <w:rPr>
          <w:rFonts w:ascii="Times New Roman" w:hAnsi="Times New Roman"/>
          <w:i/>
          <w:iCs/>
          <w:sz w:val="20"/>
          <w:szCs w:val="20"/>
          <w:lang w:val="en-US"/>
        </w:rPr>
        <w:t xml:space="preserve">Upon full exercise of all warrants, the Company's share capital will increase by a total of </w:t>
      </w:r>
      <w:r w:rsidR="00986F1B">
        <w:rPr>
          <w:rFonts w:ascii="Times New Roman" w:hAnsi="Times New Roman"/>
          <w:i/>
          <w:iCs/>
          <w:sz w:val="20"/>
          <w:szCs w:val="20"/>
          <w:lang w:val="en-US"/>
        </w:rPr>
        <w:t>SEK 38,719.67.</w:t>
      </w:r>
    </w:p>
    <w:p w14:paraId="59E40171" w14:textId="77777777" w:rsidR="0015559E" w:rsidRPr="003B5EE7" w:rsidRDefault="0015559E" w:rsidP="005D1403">
      <w:pPr>
        <w:jc w:val="both"/>
        <w:rPr>
          <w:rFonts w:ascii="Times New Roman" w:hAnsi="Times New Roman"/>
          <w:sz w:val="22"/>
          <w:szCs w:val="22"/>
          <w:lang w:val="en-US"/>
        </w:rPr>
      </w:pPr>
    </w:p>
    <w:p w14:paraId="6B2FDFD0" w14:textId="4FA041D9" w:rsidR="00D22C71" w:rsidRDefault="0015559E" w:rsidP="0015559E">
      <w:pPr>
        <w:jc w:val="both"/>
        <w:rPr>
          <w:rFonts w:ascii="Times New Roman" w:hAnsi="Times New Roman"/>
          <w:sz w:val="22"/>
          <w:szCs w:val="22"/>
        </w:rPr>
      </w:pPr>
      <w:r w:rsidRPr="0015559E">
        <w:rPr>
          <w:rFonts w:ascii="Times New Roman" w:hAnsi="Times New Roman"/>
          <w:sz w:val="22"/>
          <w:szCs w:val="22"/>
        </w:rPr>
        <w:t>För beslut om antagande av incitamentsprogram enligt förslaget erfordras att stämmans beslut biträds</w:t>
      </w:r>
      <w:r>
        <w:rPr>
          <w:rFonts w:ascii="Times New Roman" w:hAnsi="Times New Roman"/>
          <w:sz w:val="22"/>
          <w:szCs w:val="22"/>
        </w:rPr>
        <w:t xml:space="preserve"> </w:t>
      </w:r>
      <w:r w:rsidRPr="0015559E">
        <w:rPr>
          <w:rFonts w:ascii="Times New Roman" w:hAnsi="Times New Roman"/>
          <w:sz w:val="22"/>
          <w:szCs w:val="22"/>
        </w:rPr>
        <w:t>av aktieägare företrädande minst nio tiondelar av såväl de avgivna rösterna som de vid stämman</w:t>
      </w:r>
      <w:r>
        <w:rPr>
          <w:rFonts w:ascii="Times New Roman" w:hAnsi="Times New Roman"/>
          <w:sz w:val="22"/>
          <w:szCs w:val="22"/>
        </w:rPr>
        <w:t xml:space="preserve"> </w:t>
      </w:r>
      <w:r w:rsidRPr="0015559E">
        <w:rPr>
          <w:rFonts w:ascii="Times New Roman" w:hAnsi="Times New Roman"/>
          <w:sz w:val="22"/>
          <w:szCs w:val="22"/>
        </w:rPr>
        <w:t>företrädda aktierna.</w:t>
      </w:r>
    </w:p>
    <w:p w14:paraId="671F4B51" w14:textId="77777777" w:rsidR="00706FFB" w:rsidRPr="00D4713F" w:rsidRDefault="00706FFB" w:rsidP="00706FFB">
      <w:pPr>
        <w:jc w:val="both"/>
        <w:rPr>
          <w:rFonts w:ascii="Times New Roman" w:hAnsi="Times New Roman"/>
          <w:i/>
          <w:iCs/>
          <w:sz w:val="20"/>
          <w:szCs w:val="20"/>
          <w:lang w:val="en-US"/>
        </w:rPr>
      </w:pPr>
      <w:r w:rsidRPr="00DF7E9E">
        <w:rPr>
          <w:rFonts w:ascii="Times New Roman" w:hAnsi="Times New Roman"/>
          <w:i/>
          <w:iCs/>
          <w:sz w:val="20"/>
          <w:szCs w:val="20"/>
          <w:lang w:val="en-US"/>
        </w:rPr>
        <w:t xml:space="preserve">For </w:t>
      </w:r>
      <w:r>
        <w:rPr>
          <w:rFonts w:ascii="Times New Roman" w:hAnsi="Times New Roman"/>
          <w:i/>
          <w:iCs/>
          <w:sz w:val="20"/>
          <w:szCs w:val="20"/>
          <w:lang w:val="en-US"/>
        </w:rPr>
        <w:t>resolution</w:t>
      </w:r>
      <w:r w:rsidRPr="00DF7E9E">
        <w:rPr>
          <w:rFonts w:ascii="Times New Roman" w:hAnsi="Times New Roman"/>
          <w:i/>
          <w:iCs/>
          <w:sz w:val="20"/>
          <w:szCs w:val="20"/>
          <w:lang w:val="en-US"/>
        </w:rPr>
        <w:t xml:space="preserve"> on </w:t>
      </w:r>
      <w:r>
        <w:rPr>
          <w:rFonts w:ascii="Times New Roman" w:hAnsi="Times New Roman"/>
          <w:i/>
          <w:iCs/>
          <w:sz w:val="20"/>
          <w:szCs w:val="20"/>
          <w:lang w:val="en-US"/>
        </w:rPr>
        <w:t xml:space="preserve">adopting an </w:t>
      </w:r>
      <w:r w:rsidRPr="00DF7E9E">
        <w:rPr>
          <w:rFonts w:ascii="Times New Roman" w:hAnsi="Times New Roman"/>
          <w:i/>
          <w:iCs/>
          <w:sz w:val="20"/>
          <w:szCs w:val="20"/>
          <w:lang w:val="en-US"/>
        </w:rPr>
        <w:t xml:space="preserve">incentive </w:t>
      </w:r>
      <w:r>
        <w:rPr>
          <w:rFonts w:ascii="Times New Roman" w:hAnsi="Times New Roman"/>
          <w:i/>
          <w:iCs/>
          <w:sz w:val="20"/>
          <w:szCs w:val="20"/>
          <w:lang w:val="en-US"/>
        </w:rPr>
        <w:t>scheme</w:t>
      </w:r>
      <w:r w:rsidRPr="00DF7E9E">
        <w:rPr>
          <w:rFonts w:ascii="Times New Roman" w:hAnsi="Times New Roman"/>
          <w:i/>
          <w:iCs/>
          <w:sz w:val="20"/>
          <w:szCs w:val="20"/>
          <w:lang w:val="en-US"/>
        </w:rPr>
        <w:t xml:space="preserve"> according to the proposal, it is required that the </w:t>
      </w:r>
      <w:r>
        <w:rPr>
          <w:rFonts w:ascii="Times New Roman" w:hAnsi="Times New Roman"/>
          <w:i/>
          <w:iCs/>
          <w:sz w:val="20"/>
          <w:szCs w:val="20"/>
          <w:lang w:val="en-US"/>
        </w:rPr>
        <w:t>general meetings'</w:t>
      </w:r>
      <w:r w:rsidRPr="00DF7E9E">
        <w:rPr>
          <w:rFonts w:ascii="Times New Roman" w:hAnsi="Times New Roman"/>
          <w:i/>
          <w:iCs/>
          <w:sz w:val="20"/>
          <w:szCs w:val="20"/>
          <w:lang w:val="en-US"/>
        </w:rPr>
        <w:t xml:space="preserve"> decision is supported by shareholders representing at least nine tenths of both the votes cast and the shares represented at the </w:t>
      </w:r>
      <w:r>
        <w:rPr>
          <w:rFonts w:ascii="Times New Roman" w:hAnsi="Times New Roman"/>
          <w:i/>
          <w:iCs/>
          <w:sz w:val="20"/>
          <w:szCs w:val="20"/>
          <w:lang w:val="en-US"/>
        </w:rPr>
        <w:t>general meeting.</w:t>
      </w:r>
    </w:p>
    <w:p w14:paraId="520B0E07" w14:textId="77777777" w:rsidR="00706FFB" w:rsidRPr="00706FFB" w:rsidRDefault="00706FFB" w:rsidP="0015559E">
      <w:pPr>
        <w:jc w:val="both"/>
        <w:rPr>
          <w:rFonts w:ascii="Times New Roman" w:hAnsi="Times New Roman"/>
          <w:sz w:val="22"/>
          <w:szCs w:val="22"/>
          <w:lang w:val="en-US"/>
        </w:rPr>
      </w:pPr>
    </w:p>
    <w:bookmarkEnd w:id="0"/>
    <w:p w14:paraId="37DBAD47" w14:textId="0C78355E" w:rsidR="0042799D" w:rsidRPr="00706FFB" w:rsidRDefault="0042799D" w:rsidP="0042799D">
      <w:pPr>
        <w:jc w:val="center"/>
        <w:rPr>
          <w:rFonts w:ascii="Times New Roman" w:hAnsi="Times New Roman" w:cs="Times New Roman"/>
          <w:color w:val="0A0A0A"/>
          <w:sz w:val="22"/>
          <w:szCs w:val="22"/>
          <w:lang w:val="en-US" w:eastAsia="sv-SE"/>
        </w:rPr>
      </w:pPr>
    </w:p>
    <w:sectPr w:rsidR="0042799D" w:rsidRPr="00706FFB" w:rsidSect="00576C0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43F" w14:textId="77777777" w:rsidR="00D26D9D" w:rsidRDefault="00D26D9D" w:rsidP="00D26D9D">
      <w:r>
        <w:separator/>
      </w:r>
    </w:p>
  </w:endnote>
  <w:endnote w:type="continuationSeparator" w:id="0">
    <w:p w14:paraId="762023F5" w14:textId="77777777" w:rsidR="00D26D9D" w:rsidRDefault="00D26D9D" w:rsidP="00D2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6E56" w14:textId="77777777" w:rsidR="00D26D9D" w:rsidRDefault="00D26D9D" w:rsidP="00D26D9D">
      <w:r>
        <w:separator/>
      </w:r>
    </w:p>
  </w:footnote>
  <w:footnote w:type="continuationSeparator" w:id="0">
    <w:p w14:paraId="79DE6A4F" w14:textId="77777777" w:rsidR="00D26D9D" w:rsidRDefault="00D26D9D" w:rsidP="00D2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75C1" w14:textId="77777777" w:rsidR="00D26D9D" w:rsidRDefault="00D26D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3" w15:restartNumberingAfterBreak="0">
    <w:nsid w:val="497024FB"/>
    <w:multiLevelType w:val="hybridMultilevel"/>
    <w:tmpl w:val="D4DECECE"/>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075A3"/>
    <w:rsid w:val="0001179E"/>
    <w:rsid w:val="000333D9"/>
    <w:rsid w:val="00033A4E"/>
    <w:rsid w:val="00033CD9"/>
    <w:rsid w:val="0003558D"/>
    <w:rsid w:val="00075F6F"/>
    <w:rsid w:val="00076763"/>
    <w:rsid w:val="00091EC5"/>
    <w:rsid w:val="000A4126"/>
    <w:rsid w:val="000A495C"/>
    <w:rsid w:val="000B3269"/>
    <w:rsid w:val="000B35AE"/>
    <w:rsid w:val="000B556B"/>
    <w:rsid w:val="000C5686"/>
    <w:rsid w:val="000C5E12"/>
    <w:rsid w:val="000C7E4E"/>
    <w:rsid w:val="000D4ED3"/>
    <w:rsid w:val="000D72F6"/>
    <w:rsid w:val="000F313C"/>
    <w:rsid w:val="000F337C"/>
    <w:rsid w:val="001012BC"/>
    <w:rsid w:val="0010245D"/>
    <w:rsid w:val="00105D30"/>
    <w:rsid w:val="00110780"/>
    <w:rsid w:val="001232CA"/>
    <w:rsid w:val="00140EDC"/>
    <w:rsid w:val="001543D9"/>
    <w:rsid w:val="00154CE8"/>
    <w:rsid w:val="0015559E"/>
    <w:rsid w:val="00157BC5"/>
    <w:rsid w:val="00162456"/>
    <w:rsid w:val="00174800"/>
    <w:rsid w:val="00181364"/>
    <w:rsid w:val="00195080"/>
    <w:rsid w:val="001A1928"/>
    <w:rsid w:val="001B0D27"/>
    <w:rsid w:val="001B75A6"/>
    <w:rsid w:val="001D708E"/>
    <w:rsid w:val="001F2893"/>
    <w:rsid w:val="001F4BAA"/>
    <w:rsid w:val="001F5B3E"/>
    <w:rsid w:val="0022381B"/>
    <w:rsid w:val="0022725E"/>
    <w:rsid w:val="00240506"/>
    <w:rsid w:val="00241D05"/>
    <w:rsid w:val="002503EA"/>
    <w:rsid w:val="00267E66"/>
    <w:rsid w:val="00271DA1"/>
    <w:rsid w:val="00290880"/>
    <w:rsid w:val="00292E07"/>
    <w:rsid w:val="002A760D"/>
    <w:rsid w:val="002B7009"/>
    <w:rsid w:val="002B70E9"/>
    <w:rsid w:val="002C3AFB"/>
    <w:rsid w:val="002F643A"/>
    <w:rsid w:val="002F7315"/>
    <w:rsid w:val="003064DF"/>
    <w:rsid w:val="00313022"/>
    <w:rsid w:val="00336A8E"/>
    <w:rsid w:val="00342D6E"/>
    <w:rsid w:val="003435C0"/>
    <w:rsid w:val="003509CA"/>
    <w:rsid w:val="00367557"/>
    <w:rsid w:val="00375342"/>
    <w:rsid w:val="003771E6"/>
    <w:rsid w:val="0038436C"/>
    <w:rsid w:val="0038772C"/>
    <w:rsid w:val="0039046D"/>
    <w:rsid w:val="00392821"/>
    <w:rsid w:val="00393754"/>
    <w:rsid w:val="003A1AC3"/>
    <w:rsid w:val="003B5EE7"/>
    <w:rsid w:val="003C0C69"/>
    <w:rsid w:val="003D172A"/>
    <w:rsid w:val="003D267B"/>
    <w:rsid w:val="003E13D8"/>
    <w:rsid w:val="003F1788"/>
    <w:rsid w:val="004204EA"/>
    <w:rsid w:val="00425503"/>
    <w:rsid w:val="004273EF"/>
    <w:rsid w:val="0042799D"/>
    <w:rsid w:val="004332A2"/>
    <w:rsid w:val="00444D3F"/>
    <w:rsid w:val="00445D1A"/>
    <w:rsid w:val="00450D6D"/>
    <w:rsid w:val="00452229"/>
    <w:rsid w:val="00463EF3"/>
    <w:rsid w:val="0048052F"/>
    <w:rsid w:val="00480673"/>
    <w:rsid w:val="00487804"/>
    <w:rsid w:val="0049351A"/>
    <w:rsid w:val="004A0E31"/>
    <w:rsid w:val="004B3FCB"/>
    <w:rsid w:val="004C61AA"/>
    <w:rsid w:val="004D15CC"/>
    <w:rsid w:val="004D1712"/>
    <w:rsid w:val="004E26ED"/>
    <w:rsid w:val="004E643F"/>
    <w:rsid w:val="004E687D"/>
    <w:rsid w:val="00565740"/>
    <w:rsid w:val="005670D1"/>
    <w:rsid w:val="00574EFF"/>
    <w:rsid w:val="00576C07"/>
    <w:rsid w:val="005858D3"/>
    <w:rsid w:val="00590BFF"/>
    <w:rsid w:val="00597C68"/>
    <w:rsid w:val="005A3E92"/>
    <w:rsid w:val="005A6D1D"/>
    <w:rsid w:val="005B1A69"/>
    <w:rsid w:val="005B404B"/>
    <w:rsid w:val="005C4546"/>
    <w:rsid w:val="005D004A"/>
    <w:rsid w:val="005D1403"/>
    <w:rsid w:val="005D19EB"/>
    <w:rsid w:val="005F76E8"/>
    <w:rsid w:val="0060102C"/>
    <w:rsid w:val="006130C4"/>
    <w:rsid w:val="00681FB5"/>
    <w:rsid w:val="00687632"/>
    <w:rsid w:val="006A3C9B"/>
    <w:rsid w:val="006C1822"/>
    <w:rsid w:val="006C334A"/>
    <w:rsid w:val="006D55B1"/>
    <w:rsid w:val="006F16EE"/>
    <w:rsid w:val="00706FFB"/>
    <w:rsid w:val="007132A5"/>
    <w:rsid w:val="00717F1F"/>
    <w:rsid w:val="00754D46"/>
    <w:rsid w:val="00770D51"/>
    <w:rsid w:val="00774775"/>
    <w:rsid w:val="007767FE"/>
    <w:rsid w:val="00781CFA"/>
    <w:rsid w:val="007864FC"/>
    <w:rsid w:val="007B26D6"/>
    <w:rsid w:val="007C2061"/>
    <w:rsid w:val="007D058F"/>
    <w:rsid w:val="007D3813"/>
    <w:rsid w:val="007E08EF"/>
    <w:rsid w:val="007E4582"/>
    <w:rsid w:val="007F594E"/>
    <w:rsid w:val="00800023"/>
    <w:rsid w:val="00815720"/>
    <w:rsid w:val="0081790D"/>
    <w:rsid w:val="00820DE8"/>
    <w:rsid w:val="00833190"/>
    <w:rsid w:val="00840B2C"/>
    <w:rsid w:val="0084330F"/>
    <w:rsid w:val="00843FB3"/>
    <w:rsid w:val="008541A9"/>
    <w:rsid w:val="0085496B"/>
    <w:rsid w:val="008607C8"/>
    <w:rsid w:val="008622D5"/>
    <w:rsid w:val="00864753"/>
    <w:rsid w:val="00867BAA"/>
    <w:rsid w:val="00882DDE"/>
    <w:rsid w:val="008846F3"/>
    <w:rsid w:val="00892E17"/>
    <w:rsid w:val="008971DE"/>
    <w:rsid w:val="008A6154"/>
    <w:rsid w:val="008E7E54"/>
    <w:rsid w:val="00912F0E"/>
    <w:rsid w:val="009144F9"/>
    <w:rsid w:val="00925C5B"/>
    <w:rsid w:val="009277E0"/>
    <w:rsid w:val="00945875"/>
    <w:rsid w:val="0095632F"/>
    <w:rsid w:val="00962EE1"/>
    <w:rsid w:val="009703DB"/>
    <w:rsid w:val="00975C6E"/>
    <w:rsid w:val="009815EE"/>
    <w:rsid w:val="00983B2D"/>
    <w:rsid w:val="00986F1B"/>
    <w:rsid w:val="009A45DE"/>
    <w:rsid w:val="009A523A"/>
    <w:rsid w:val="009A53DE"/>
    <w:rsid w:val="009C5858"/>
    <w:rsid w:val="009F7CB9"/>
    <w:rsid w:val="00A26CF3"/>
    <w:rsid w:val="00A30B96"/>
    <w:rsid w:val="00A34820"/>
    <w:rsid w:val="00A41167"/>
    <w:rsid w:val="00A4616D"/>
    <w:rsid w:val="00A5717A"/>
    <w:rsid w:val="00A576D7"/>
    <w:rsid w:val="00A577BC"/>
    <w:rsid w:val="00A64F85"/>
    <w:rsid w:val="00A905BB"/>
    <w:rsid w:val="00A94F89"/>
    <w:rsid w:val="00AA14B9"/>
    <w:rsid w:val="00AA3D4D"/>
    <w:rsid w:val="00AF2F9C"/>
    <w:rsid w:val="00B14F22"/>
    <w:rsid w:val="00B17450"/>
    <w:rsid w:val="00B213F4"/>
    <w:rsid w:val="00B25716"/>
    <w:rsid w:val="00B41C32"/>
    <w:rsid w:val="00B424DA"/>
    <w:rsid w:val="00B558E5"/>
    <w:rsid w:val="00B62221"/>
    <w:rsid w:val="00B71944"/>
    <w:rsid w:val="00B74750"/>
    <w:rsid w:val="00B87E44"/>
    <w:rsid w:val="00B90D91"/>
    <w:rsid w:val="00B9629C"/>
    <w:rsid w:val="00BA3DCC"/>
    <w:rsid w:val="00BB1698"/>
    <w:rsid w:val="00BD714C"/>
    <w:rsid w:val="00BE66B4"/>
    <w:rsid w:val="00C00D6F"/>
    <w:rsid w:val="00C12C76"/>
    <w:rsid w:val="00C163EA"/>
    <w:rsid w:val="00C253DB"/>
    <w:rsid w:val="00C37B92"/>
    <w:rsid w:val="00C46764"/>
    <w:rsid w:val="00C563ED"/>
    <w:rsid w:val="00C61695"/>
    <w:rsid w:val="00C70E30"/>
    <w:rsid w:val="00C710D0"/>
    <w:rsid w:val="00C76060"/>
    <w:rsid w:val="00C83A79"/>
    <w:rsid w:val="00C968BE"/>
    <w:rsid w:val="00CC1166"/>
    <w:rsid w:val="00CC4B3E"/>
    <w:rsid w:val="00CF663E"/>
    <w:rsid w:val="00D0544C"/>
    <w:rsid w:val="00D055D8"/>
    <w:rsid w:val="00D22C71"/>
    <w:rsid w:val="00D26D9D"/>
    <w:rsid w:val="00D30507"/>
    <w:rsid w:val="00D35EAB"/>
    <w:rsid w:val="00D4183E"/>
    <w:rsid w:val="00D60A88"/>
    <w:rsid w:val="00D60BDC"/>
    <w:rsid w:val="00D77FED"/>
    <w:rsid w:val="00D80706"/>
    <w:rsid w:val="00D92FC4"/>
    <w:rsid w:val="00D93546"/>
    <w:rsid w:val="00DA0556"/>
    <w:rsid w:val="00DA1D99"/>
    <w:rsid w:val="00DB6026"/>
    <w:rsid w:val="00DB623E"/>
    <w:rsid w:val="00DC52D2"/>
    <w:rsid w:val="00DE6B05"/>
    <w:rsid w:val="00E223A7"/>
    <w:rsid w:val="00E34476"/>
    <w:rsid w:val="00E36239"/>
    <w:rsid w:val="00E40485"/>
    <w:rsid w:val="00E40A6D"/>
    <w:rsid w:val="00E60030"/>
    <w:rsid w:val="00E66253"/>
    <w:rsid w:val="00E7376B"/>
    <w:rsid w:val="00E76A71"/>
    <w:rsid w:val="00E811DD"/>
    <w:rsid w:val="00E83614"/>
    <w:rsid w:val="00EA2FED"/>
    <w:rsid w:val="00EA625F"/>
    <w:rsid w:val="00EB10E1"/>
    <w:rsid w:val="00EE64D9"/>
    <w:rsid w:val="00EF4354"/>
    <w:rsid w:val="00F00C3B"/>
    <w:rsid w:val="00F022CC"/>
    <w:rsid w:val="00F12F9A"/>
    <w:rsid w:val="00F31FC6"/>
    <w:rsid w:val="00F32D71"/>
    <w:rsid w:val="00F36072"/>
    <w:rsid w:val="00F40080"/>
    <w:rsid w:val="00F5124C"/>
    <w:rsid w:val="00F620EB"/>
    <w:rsid w:val="00F73F1E"/>
    <w:rsid w:val="00F823E4"/>
    <w:rsid w:val="00F864E0"/>
    <w:rsid w:val="00FA60E2"/>
    <w:rsid w:val="00FB2EEC"/>
    <w:rsid w:val="00FB6700"/>
    <w:rsid w:val="00FC5AFE"/>
    <w:rsid w:val="00FD49B0"/>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26D9D"/>
    <w:pPr>
      <w:tabs>
        <w:tab w:val="center" w:pos="4536"/>
        <w:tab w:val="right" w:pos="9072"/>
      </w:tabs>
    </w:pPr>
  </w:style>
  <w:style w:type="character" w:customStyle="1" w:styleId="SidhuvudChar">
    <w:name w:val="Sidhuvud Char"/>
    <w:basedOn w:val="Standardstycketeckensnitt"/>
    <w:link w:val="Sidhuvud"/>
    <w:uiPriority w:val="99"/>
    <w:rsid w:val="00D26D9D"/>
  </w:style>
  <w:style w:type="paragraph" w:styleId="Sidfot">
    <w:name w:val="footer"/>
    <w:basedOn w:val="Normal"/>
    <w:link w:val="SidfotChar"/>
    <w:uiPriority w:val="99"/>
    <w:unhideWhenUsed/>
    <w:rsid w:val="00D26D9D"/>
    <w:pPr>
      <w:tabs>
        <w:tab w:val="center" w:pos="4536"/>
        <w:tab w:val="right" w:pos="9072"/>
      </w:tabs>
    </w:pPr>
  </w:style>
  <w:style w:type="character" w:customStyle="1" w:styleId="SidfotChar">
    <w:name w:val="Sidfot Char"/>
    <w:basedOn w:val="Standardstycketeckensnitt"/>
    <w:link w:val="Sidfot"/>
    <w:uiPriority w:val="99"/>
    <w:rsid w:val="00D26D9D"/>
  </w:style>
  <w:style w:type="character" w:customStyle="1" w:styleId="Notetext">
    <w:name w:val="Note text"/>
    <w:qFormat/>
    <w:rsid w:val="00D26D9D"/>
    <w:rPr>
      <w:i/>
      <w:sz w:val="18"/>
    </w:rPr>
  </w:style>
  <w:style w:type="paragraph" w:customStyle="1" w:styleId="Heading2English">
    <w:name w:val="Heading 2 English"/>
    <w:basedOn w:val="Rubrik2"/>
    <w:next w:val="Normal"/>
    <w:qFormat/>
    <w:rsid w:val="00D26D9D"/>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Standardstycketeckensnitt"/>
    <w:rsid w:val="00D26D9D"/>
    <w:rPr>
      <w:rFonts w:ascii="Times New Roman" w:hAnsi="Times New Roman"/>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1274</Words>
  <Characters>6756</Characters>
  <Application>Microsoft Office Word</Application>
  <DocSecurity>0</DocSecurity>
  <Lines>56</Lines>
  <Paragraphs>16</Paragraphs>
  <ScaleCrop>false</ScaleCrop>
  <HeadingPairs>
    <vt:vector size="2" baseType="variant">
      <vt:variant>
        <vt:lpstr>Rubrik</vt:lpstr>
      </vt:variant>
      <vt:variant>
        <vt:i4>1</vt:i4>
      </vt:variant>
    </vt:vector>
  </HeadingPair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2022-02-08T07:50:00Z</dcterms:created>
  <dcterms:modified xsi:type="dcterms:W3CDTF">2022-02-08T07:50:00Z</dcterms:modified>
</cp:coreProperties>
</file>