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17AE7" w:rsidRPr="00B84614" w14:paraId="620C1516" w14:textId="77777777">
      <w:pPr>
        <w:rPr>
          <w:lang w:val="en-US"/>
        </w:rPr>
      </w:pPr>
      <w:r w:rsidRPr="00B84614">
        <w:rPr>
          <w:rStyle w:val="Notetext"/>
          <w:lang w:val="en-US"/>
        </w:rPr>
        <w:t>N.B. The English text is an unofficial translation.</w:t>
      </w:r>
    </w:p>
    <w:p w:rsidR="00A17AE7" w:rsidRPr="007710D1" w14:paraId="0491C676" w14:textId="141ED294">
      <w:pPr>
        <w:pStyle w:val="Rubrik1Center"/>
        <w:rPr>
          <w:lang w:val="en-US"/>
        </w:rPr>
      </w:pPr>
      <w:r w:rsidRPr="007710D1" w:rsidR="007710D1">
        <w:rPr>
          <w:lang w:val="en-US"/>
        </w:rPr>
        <w:t>Bolagsordning för Imaginecare AB</w:t>
      </w:r>
    </w:p>
    <w:p w:rsidR="00A17AE7" w:rsidRPr="007710D1" w14:paraId="67774BB2" w14:textId="1FEABF08">
      <w:pPr>
        <w:pStyle w:val="Heading1EnglishCenter"/>
        <w:rPr>
          <w:lang w:val="en-US"/>
        </w:rPr>
      </w:pPr>
      <w:r w:rsidRPr="007710D1" w:rsidR="007710D1">
        <w:rPr>
          <w:lang w:val="en-US"/>
        </w:rPr>
        <w:t>Articles of association of Imaginecare AB</w:t>
      </w:r>
    </w:p>
    <w:p w:rsidR="00A17AE7" w14:paraId="669FD9A8" w14:textId="5A7CDEC4">
      <w:pPr>
        <w:pStyle w:val="Rubrik2Center"/>
      </w:pPr>
      <w:r w:rsidRPr="007710D1" w:rsidR="007710D1">
        <w:t>Org.nr 559081-8356</w:t>
      </w:r>
    </w:p>
    <w:p w:rsidR="00A17AE7" w14:paraId="1D6DF4C0" w14:textId="5D063F66">
      <w:pPr>
        <w:pStyle w:val="Heading2EnglishCenter"/>
      </w:pPr>
      <w:r w:rsidRPr="007710D1" w:rsidR="007710D1">
        <w:t>Reg. no. 559081-8356</w:t>
      </w:r>
    </w:p>
    <w:p w:rsidR="00A17AE7" w14:paraId="1E5320C0" w14:textId="70B74D11">
      <w:pPr>
        <w:pStyle w:val="NormalCenter"/>
      </w:pPr>
      <w:r>
        <w:t>Antagen på bolagsstämma den 12 juni 2025.</w:t>
      </w:r>
    </w:p>
    <w:p w:rsidR="00A17AE7" w:rsidRPr="007710D1" w14:paraId="761C25A9" w14:textId="0002A384">
      <w:pPr>
        <w:pStyle w:val="NormalEnglishCenter"/>
        <w:rPr>
          <w:lang w:val="en-US"/>
        </w:rPr>
      </w:pPr>
      <w:r w:rsidRPr="007710D1">
        <w:rPr>
          <w:lang w:val="en-US"/>
        </w:rPr>
        <w:t>Adopted at the general meeting held on 12 June 2025.</w:t>
      </w:r>
    </w:p>
    <w:p w:rsidR="00A17AE7" w:rsidRPr="007710D1" w14:paraId="30DDC246" w14:textId="77777777">
      <w:pPr>
        <w:pStyle w:val="NormalEnglishCenter"/>
        <w:rPr>
          <w:lang w:val="en-US"/>
        </w:rPr>
      </w:pPr>
    </w:p>
    <w:p w:rsidR="00A17AE7" w14:paraId="4672D743" w14:textId="77777777">
      <w:pPr>
        <w:pStyle w:val="MinutesHeading3"/>
      </w:pPr>
      <w:r>
        <w:t xml:space="preserve">Företagsnamn </w:t>
      </w:r>
      <w:r>
        <w:rPr>
          <w:i/>
        </w:rPr>
        <w:t>/ Name of company</w:t>
      </w:r>
    </w:p>
    <w:p w:rsidR="00A17AE7" w:rsidRPr="00950079" w14:paraId="3EB90B65" w14:textId="393BF6D5">
      <w:pPr>
        <w:rPr>
          <w:lang w:val="en-US"/>
        </w:rPr>
      </w:pPr>
      <w:r w:rsidR="00950079">
        <w:t xml:space="preserve">Bolagets företagsnamn är Imaginecare AB. </w:t>
      </w:r>
      <w:r w:rsidRPr="00950079" w:rsidR="00950079">
        <w:rPr>
          <w:lang w:val="en-US"/>
        </w:rPr>
        <w:t xml:space="preserve">Bolaget är publikt (publ). </w:t>
      </w:r>
    </w:p>
    <w:p w:rsidR="00A17AE7" w:rsidRPr="007710D1" w14:paraId="5BF6E44D" w14:textId="542FB5CD">
      <w:pPr>
        <w:pStyle w:val="NormalEnglish"/>
        <w:rPr>
          <w:lang w:val="en-US"/>
        </w:rPr>
      </w:pPr>
      <w:r w:rsidR="00950079">
        <w:rPr>
          <w:lang w:val="en-US"/>
        </w:rPr>
        <w:t xml:space="preserve">The name of the company is Imaginecare AB. The company is a public limited liability company. </w:t>
      </w:r>
    </w:p>
    <w:p w:rsidR="00A17AE7" w:rsidRPr="00950079" w14:paraId="29A14A2C" w14:textId="77777777">
      <w:pPr>
        <w:pStyle w:val="MinutesHeading3"/>
        <w:rPr>
          <w:lang w:val="en-US"/>
        </w:rPr>
      </w:pPr>
      <w:r w:rsidRPr="00950079">
        <w:rPr>
          <w:lang w:val="en-US"/>
        </w:rPr>
        <w:t xml:space="preserve">Styrelsens säte </w:t>
      </w:r>
      <w:r w:rsidRPr="00950079">
        <w:rPr>
          <w:i/>
          <w:lang w:val="en-US"/>
        </w:rPr>
        <w:t>/ Registered office of the company</w:t>
      </w:r>
    </w:p>
    <w:p w:rsidR="00A17AE7" w14:paraId="2BA7388D" w14:textId="77777777">
      <w:r>
        <w:t>Styrelsen har sitt säte i Stockholm.</w:t>
      </w:r>
    </w:p>
    <w:p w:rsidR="00A17AE7" w:rsidRPr="00B84614" w14:paraId="49314666" w14:textId="77777777">
      <w:pPr>
        <w:pStyle w:val="NormalEnglish"/>
        <w:rPr>
          <w:lang w:val="en-US"/>
        </w:rPr>
      </w:pPr>
      <w:r w:rsidRPr="00B84614">
        <w:rPr>
          <w:lang w:val="en-US"/>
        </w:rPr>
        <w:t>The registered office of the company is situated in Stockholm.</w:t>
      </w:r>
    </w:p>
    <w:p w:rsidR="00A17AE7" w14:paraId="02669458" w14:textId="455E6478">
      <w:pPr>
        <w:pStyle w:val="MinutesHeading3"/>
      </w:pPr>
      <w:r>
        <w:t xml:space="preserve">Verksamhet </w:t>
      </w:r>
      <w:r>
        <w:rPr>
          <w:i/>
        </w:rPr>
        <w:t>/ Object</w:t>
      </w:r>
    </w:p>
    <w:p w:rsidR="00A17AE7" w14:paraId="3455ACEA" w14:textId="74B63A67">
      <w:r>
        <w:t>Bolaget ska bedriva sjukvård och därmed förenlig verksamhet samt utveckla och förvalta digitala tjänster inom sjukvård.</w:t>
      </w:r>
    </w:p>
    <w:p w:rsidR="00A17AE7" w:rsidRPr="007710D1" w14:paraId="55D768A5" w14:textId="0A8EEA61">
      <w:pPr>
        <w:pStyle w:val="NormalEnglish"/>
        <w:rPr>
          <w:lang w:val="en-US"/>
        </w:rPr>
      </w:pPr>
      <w:r w:rsidRPr="007710D1">
        <w:rPr>
          <w:lang w:val="en-US"/>
        </w:rPr>
        <w:t>The company shall conduct healthcare and other activities related thereto and develop and manage digital services within healthcare.</w:t>
      </w:r>
    </w:p>
    <w:p w:rsidR="00A17AE7" w:rsidRPr="00950079" w14:paraId="43D67867" w14:textId="2499404F">
      <w:pPr>
        <w:pStyle w:val="MinutesHeading3"/>
        <w:rPr>
          <w:lang w:val="en-US"/>
        </w:rPr>
      </w:pPr>
      <w:r w:rsidRPr="00950079">
        <w:rPr>
          <w:lang w:val="en-US"/>
        </w:rPr>
        <w:t xml:space="preserve">Aktiekapital </w:t>
      </w:r>
      <w:r w:rsidRPr="00950079">
        <w:rPr>
          <w:i/>
          <w:lang w:val="en-US"/>
        </w:rPr>
        <w:t xml:space="preserve">/ Share capital </w:t>
      </w:r>
    </w:p>
    <w:p w:rsidR="00A17AE7" w14:paraId="15D5E7EE" w14:textId="0173511A">
      <w:r>
        <w:t xml:space="preserve">Aktiekapitalet utgör lägst 1 375 000 kronor och högst 5 500 000 kronor. </w:t>
      </w:r>
    </w:p>
    <w:p w:rsidR="00A17AE7" w:rsidRPr="00950079" w14:paraId="4A2F4723" w14:textId="1E89049B">
      <w:pPr>
        <w:pStyle w:val="NormalEnglish"/>
        <w:rPr>
          <w:lang w:val="en-US"/>
        </w:rPr>
      </w:pPr>
      <w:r w:rsidRPr="00950079">
        <w:rPr>
          <w:lang w:val="en-US"/>
        </w:rPr>
        <w:t xml:space="preserve">The share capital shall be not less than SEK 1,375,000 and not more than SEK 5,500,000. </w:t>
      </w:r>
    </w:p>
    <w:p w:rsidR="00950079" w:rsidRPr="00950079" w:rsidP="00950079" w14:paraId="16923971" w14:textId="22FF33D9">
      <w:pPr>
        <w:pStyle w:val="MinutesHeading3"/>
        <w:rPr>
          <w:lang w:val="en-US"/>
        </w:rPr>
      </w:pPr>
      <w:r w:rsidRPr="00950079">
        <w:rPr>
          <w:lang w:val="en-US"/>
        </w:rPr>
        <w:t xml:space="preserve">Antal aktier </w:t>
      </w:r>
      <w:r w:rsidRPr="00950079">
        <w:rPr>
          <w:i/>
          <w:lang w:val="en-US"/>
        </w:rPr>
        <w:t>/ Number of shares</w:t>
      </w:r>
    </w:p>
    <w:p w:rsidR="00950079" w:rsidP="00950079" w14:paraId="02B26B9D" w14:textId="34356D12">
      <w:r>
        <w:t>Antalet aktier ska vara lägst 1 065 615 stycken och högst 4 262 460 stycken.</w:t>
      </w:r>
    </w:p>
    <w:p w:rsidR="00950079" w:rsidRPr="00950079" w14:paraId="4368625C" w14:textId="00A61CFE">
      <w:pPr>
        <w:pStyle w:val="NormalEnglish"/>
        <w:rPr>
          <w:lang w:val="en-US"/>
        </w:rPr>
      </w:pPr>
      <w:r w:rsidRPr="00950079">
        <w:rPr>
          <w:lang w:val="en-US"/>
        </w:rPr>
        <w:t>The number of shares shall be not less than 1,065,615 and not more than 4,262,460.</w:t>
      </w:r>
    </w:p>
    <w:p w:rsidR="00A17AE7" w14:paraId="12C8F3F7" w14:textId="77777777">
      <w:pPr>
        <w:pStyle w:val="MinutesHeading3"/>
      </w:pPr>
      <w:r>
        <w:t xml:space="preserve">Styrelse </w:t>
      </w:r>
      <w:r>
        <w:rPr>
          <w:i/>
        </w:rPr>
        <w:t>/ Board of directors</w:t>
      </w:r>
    </w:p>
    <w:p w:rsidR="00A17AE7" w14:paraId="424413F0" w14:textId="102FB367">
      <w:r>
        <w:t xml:space="preserve">Styrelsen ska bestå av 3–10 ledamöter med högst 10 suppleanter. </w:t>
      </w:r>
    </w:p>
    <w:p w:rsidR="00A17AE7" w:rsidRPr="00B84614" w14:paraId="48BDA36C" w14:textId="17F0FCDA">
      <w:pPr>
        <w:pStyle w:val="NormalEnglish"/>
        <w:rPr>
          <w:lang w:val="en-US"/>
        </w:rPr>
      </w:pPr>
      <w:r w:rsidRPr="00950079">
        <w:rPr>
          <w:lang w:val="en-US"/>
        </w:rPr>
        <w:t xml:space="preserve">The board of directors shall comprise 3–10 members and not more than 10 alternate members. </w:t>
      </w:r>
    </w:p>
    <w:p w:rsidR="00A17AE7" w14:paraId="2E3339C8" w14:textId="77777777">
      <w:pPr>
        <w:pStyle w:val="MinutesHeading3"/>
      </w:pPr>
      <w:r>
        <w:t xml:space="preserve">Revisorer </w:t>
      </w:r>
      <w:r>
        <w:rPr>
          <w:i/>
        </w:rPr>
        <w:t>/ Auditors</w:t>
      </w:r>
    </w:p>
    <w:p w:rsidR="00A17AE7" w14:paraId="7E3C756F" w14:textId="77777777">
      <w:r>
        <w:t>Bolaget ska ha 1–2 revisorer med högst 2 revisorssuppleanter eller ett registrerat revisionsbolag.</w:t>
      </w:r>
    </w:p>
    <w:p w:rsidR="00A17AE7" w:rsidRPr="00B84614" w14:paraId="707223F9" w14:textId="77777777">
      <w:pPr>
        <w:pStyle w:val="NormalEnglish"/>
        <w:rPr>
          <w:lang w:val="en-US"/>
        </w:rPr>
      </w:pPr>
      <w:r w:rsidRPr="00B84614">
        <w:rPr>
          <w:lang w:val="en-US"/>
        </w:rPr>
        <w:t>The company shall have 1–2 auditors and not more than 2 alternate auditors or a registered accounting firm.</w:t>
      </w:r>
    </w:p>
    <w:p w:rsidR="00A17AE7" w14:paraId="349CD128" w14:textId="77777777">
      <w:pPr>
        <w:pStyle w:val="MinutesHeading3"/>
      </w:pPr>
      <w:r>
        <w:t xml:space="preserve">Kallelse till bolagsstämma </w:t>
      </w:r>
      <w:r>
        <w:rPr>
          <w:i/>
        </w:rPr>
        <w:t>/ Notice to attend general meetings</w:t>
      </w:r>
    </w:p>
    <w:p w:rsidR="00A17AE7" w14:paraId="7F10B40F" w14:textId="590AED77">
      <w:r>
        <w:t>Kallelse till bolagsstämma ska ske genom annonsering i Post- och Inrikes Tidningar och genom att kallelsen hålls tillgänglig på bolagets webbplats. Samtidigt som kallelse sker ska bolaget genom annonsering i Svenska Dagbladet upplysa om att kallelse har skett.</w:t>
      </w:r>
    </w:p>
    <w:p w:rsidR="00A17AE7" w:rsidRPr="007710D1" w14:paraId="3ED89D0F" w14:textId="16A5DB2B">
      <w:pPr>
        <w:pStyle w:val="NormalEnglish"/>
        <w:rPr>
          <w:lang w:val="en-US"/>
        </w:rPr>
      </w:pPr>
      <w:r w:rsidR="007710D1">
        <w:rPr>
          <w:lang w:val="en-US"/>
        </w:rPr>
        <w:t>Notice to shareholders meeting shall take place through an announcement in Post- och Inrikes Tidningar and by making the notice available on the company's website. Concurrently with issuance of notice to attend, the company shall announce in Svenska Dagbladet that the notice to attend has taken place.</w:t>
      </w:r>
    </w:p>
    <w:p w:rsidR="00A17AE7" w14:paraId="170E1ACC" w14:textId="1058D95C">
      <w:r w:rsidR="009D52AA">
        <w:t>För att få deltaga i bolagsstämma skall aktieägare anmäla sig hos bolaget senast den dag som anges i kallelsen till stämman. Denna dag får inte vara söndag, annan allmän helgdag, lördag, midsommarafton, julafton eller nyårsafton och inte infalla tidigare än femte vardagen före stämman.</w:t>
      </w:r>
    </w:p>
    <w:p w:rsidR="00A17AE7" w:rsidRPr="00950079" w14:paraId="1326CF7E" w14:textId="74E8BCB1">
      <w:pPr>
        <w:pStyle w:val="NormalEnglish"/>
        <w:rPr>
          <w:lang w:val="en-US"/>
        </w:rPr>
      </w:pPr>
      <w:r w:rsidRPr="00950079" w:rsidR="009D52AA">
        <w:rPr>
          <w:lang w:val="en-US"/>
        </w:rPr>
        <w:t>Shareholders who want to participate in shareholders' meetings shall notify the company not later than on the day stipulated in the notice of the meeting. Such day may not be a Sunday, public holiday, Saturday, Midsummer Eve, Christmas Eve or New Year's Eve and may not fall earlier then the fifth weekday prior to the meeting. .</w:t>
      </w:r>
    </w:p>
    <w:p w:rsidR="00950079" w:rsidP="00950079" w14:paraId="4CB2CC5F" w14:textId="7159786C">
      <w:r>
        <w:t xml:space="preserve">Aktieägare får vid stämman medföra ett eller två biträden, dock endast om aktieägaren till bolaget anmäler biträden på det sätt som anges i föregående stycke. </w:t>
      </w:r>
    </w:p>
    <w:p w:rsidR="00950079" w:rsidRPr="00950079" w14:paraId="2AE27517" w14:textId="5D13D815">
      <w:pPr>
        <w:pStyle w:val="NormalEnglish"/>
        <w:rPr>
          <w:lang w:val="en-US"/>
        </w:rPr>
      </w:pPr>
      <w:r>
        <w:rPr>
          <w:lang w:val="en-US"/>
        </w:rPr>
        <w:t xml:space="preserve">Shareholders are entitled to bring one or two advisers with them to the general meeting, provided that the shareholder has notified the company in accordance with the previous paragraph. </w:t>
      </w:r>
    </w:p>
    <w:p w:rsidR="00A17AE7" w14:paraId="0BD3E266" w14:textId="77777777">
      <w:pPr>
        <w:pStyle w:val="MinutesHeading3"/>
      </w:pPr>
      <w:r>
        <w:t xml:space="preserve">Årsstämma </w:t>
      </w:r>
      <w:r>
        <w:rPr>
          <w:i/>
        </w:rPr>
        <w:t>/ Annual general meeting</w:t>
      </w:r>
    </w:p>
    <w:p w:rsidR="00A17AE7" w14:paraId="792F3E1A" w14:textId="77777777">
      <w:r>
        <w:t>På årsstämma ska följande ärenden förekomma.</w:t>
      </w:r>
    </w:p>
    <w:p w:rsidR="00A17AE7" w:rsidRPr="00B84614" w14:paraId="246E7072" w14:textId="77777777">
      <w:pPr>
        <w:pStyle w:val="NormalEnglish"/>
        <w:rPr>
          <w:lang w:val="en-US"/>
        </w:rPr>
      </w:pPr>
      <w:r w:rsidRPr="00B84614">
        <w:rPr>
          <w:lang w:val="en-US"/>
        </w:rPr>
        <w:t>The following matters shall be addressed at the annual general meeting.</w:t>
      </w:r>
    </w:p>
    <w:p w:rsidR="00950079" w:rsidP="00950079" w14:paraId="3C57B0CE" w14:textId="4FA4BECE">
      <w:pPr>
        <w:pStyle w:val="Bulletpointnumber"/>
      </w:pPr>
      <w:r>
        <w:t>Öppnade av stämman,</w:t>
      </w:r>
    </w:p>
    <w:p w:rsidR="00950079" w:rsidRPr="00950079" w:rsidP="00950079" w14:paraId="0B269EB7" w14:textId="3301515D">
      <w:pPr>
        <w:pStyle w:val="NormalEnglish"/>
        <w:ind w:left="720"/>
        <w:rPr>
          <w:lang w:val="en-US"/>
        </w:rPr>
      </w:pPr>
      <w:r w:rsidRPr="00950079">
        <w:rPr>
          <w:lang w:val="en-US"/>
        </w:rPr>
        <w:t>Opening of the meeting;</w:t>
      </w:r>
    </w:p>
    <w:p w:rsidR="00A17AE7" w14:paraId="3BDC88C6" w14:textId="77777777">
      <w:pPr>
        <w:pStyle w:val="Bulletpointnumber"/>
      </w:pPr>
      <w:r>
        <w:t>Val av ordförande vid stämman,</w:t>
      </w:r>
    </w:p>
    <w:p w:rsidR="00A17AE7" w:rsidRPr="00B84614" w14:paraId="1677F916" w14:textId="77777777">
      <w:pPr>
        <w:pStyle w:val="NormalEnglish"/>
        <w:ind w:left="720"/>
        <w:rPr>
          <w:lang w:val="en-US"/>
        </w:rPr>
      </w:pPr>
      <w:r w:rsidRPr="00B84614">
        <w:rPr>
          <w:lang w:val="en-US"/>
        </w:rPr>
        <w:t>Election of a chairperson of the meeting;</w:t>
      </w:r>
    </w:p>
    <w:p w:rsidR="00A17AE7" w14:paraId="139B7CB7" w14:textId="77777777">
      <w:pPr>
        <w:pStyle w:val="Bulletpointnumber"/>
      </w:pPr>
      <w:r>
        <w:t>Upprättande och godkännande av röstlängd,</w:t>
      </w:r>
    </w:p>
    <w:p w:rsidR="00A17AE7" w:rsidRPr="00B84614" w14:paraId="4F0C230A" w14:textId="77777777">
      <w:pPr>
        <w:pStyle w:val="NormalEnglish"/>
        <w:ind w:left="720"/>
        <w:rPr>
          <w:lang w:val="en-US"/>
        </w:rPr>
      </w:pPr>
      <w:r w:rsidRPr="00B84614">
        <w:rPr>
          <w:lang w:val="en-US"/>
        </w:rPr>
        <w:t>Preparation and approval of the voting register;</w:t>
      </w:r>
    </w:p>
    <w:p w:rsidR="00A17AE7" w14:paraId="12373742" w14:textId="3787DEC3">
      <w:pPr>
        <w:pStyle w:val="Bulletpointnumber"/>
      </w:pPr>
      <w:r w:rsidR="009D52AA">
        <w:t>Val av en eller två justeringsmän,</w:t>
      </w:r>
    </w:p>
    <w:p w:rsidR="00A17AE7" w:rsidRPr="00950079" w14:paraId="6B4FA7CE" w14:textId="090DC7CA">
      <w:pPr>
        <w:pStyle w:val="NormalEnglish"/>
        <w:ind w:left="720"/>
        <w:rPr>
          <w:lang w:val="en-US"/>
        </w:rPr>
      </w:pPr>
      <w:r w:rsidRPr="00950079" w:rsidR="009D52AA">
        <w:rPr>
          <w:lang w:val="en-US"/>
        </w:rPr>
        <w:t>Appointment of one or two attesters;</w:t>
      </w:r>
    </w:p>
    <w:p w:rsidR="00A17AE7" w14:paraId="69E578F4" w14:textId="77777777">
      <w:pPr>
        <w:pStyle w:val="Bulletpointnumber"/>
      </w:pPr>
      <w:r>
        <w:t>Prövning av om stämman blivit behörigen sammankallad,</w:t>
      </w:r>
    </w:p>
    <w:p w:rsidR="00A17AE7" w:rsidRPr="00B84614" w14:paraId="235E10DE" w14:textId="77777777">
      <w:pPr>
        <w:pStyle w:val="NormalEnglish"/>
        <w:ind w:left="720"/>
        <w:rPr>
          <w:lang w:val="en-US"/>
        </w:rPr>
      </w:pPr>
      <w:r w:rsidRPr="00B84614">
        <w:rPr>
          <w:lang w:val="en-US"/>
        </w:rPr>
        <w:t>Determination of whether the meeting was duly convened;</w:t>
      </w:r>
    </w:p>
    <w:p w:rsidR="00950079" w:rsidP="00950079" w14:paraId="442FBFF3" w14:textId="77777777">
      <w:pPr>
        <w:pStyle w:val="Bulletpointnumber"/>
      </w:pPr>
      <w:r>
        <w:t>Godkännande av dagordning,</w:t>
      </w:r>
    </w:p>
    <w:p w:rsidR="00950079" w:rsidP="00950079" w14:paraId="76E39488" w14:textId="77777777">
      <w:pPr>
        <w:pStyle w:val="NormalEnglish"/>
        <w:ind w:left="720"/>
      </w:pPr>
      <w:r>
        <w:t>Approval of the agenda;</w:t>
      </w:r>
    </w:p>
    <w:p w:rsidR="00A17AE7" w14:paraId="6AB9E186" w14:textId="09826922">
      <w:pPr>
        <w:pStyle w:val="Bulletpointnumber"/>
      </w:pPr>
      <w:r w:rsidR="009D52AA">
        <w:t>Framläggande av årsredovisning och revisionsberättelse samt, i förekommande fall, koncernredovisning och koncernrevisionsberättelse,</w:t>
      </w:r>
    </w:p>
    <w:p w:rsidR="00A17AE7" w:rsidRPr="00B84614" w14:paraId="780DB974" w14:textId="77777777">
      <w:pPr>
        <w:pStyle w:val="NormalEnglish"/>
        <w:ind w:left="720"/>
        <w:rPr>
          <w:lang w:val="en-US"/>
        </w:rPr>
      </w:pPr>
      <w:r w:rsidRPr="00B84614">
        <w:rPr>
          <w:lang w:val="en-US"/>
        </w:rPr>
        <w:t>Presentation of the annual report and auditor’s report and, where applicable, the consolidated financial statements and auditor’s report for the group;</w:t>
      </w:r>
    </w:p>
    <w:p w:rsidR="00A17AE7" w14:paraId="419086EF" w14:textId="77777777">
      <w:pPr>
        <w:pStyle w:val="Bulletpointnumber"/>
      </w:pPr>
      <w:r>
        <w:t>Beslut om</w:t>
      </w:r>
    </w:p>
    <w:p w:rsidR="00A17AE7" w14:paraId="609558F6" w14:textId="77777777">
      <w:pPr>
        <w:pStyle w:val="NormalEnglish"/>
        <w:ind w:left="720"/>
      </w:pPr>
      <w:r>
        <w:t>Resolutions regarding</w:t>
      </w:r>
    </w:p>
    <w:p w:rsidR="00A17AE7" w14:paraId="5C82C2E9" w14:textId="77777777">
      <w:pPr>
        <w:pStyle w:val="Bulletpointa"/>
        <w:numPr>
          <w:ilvl w:val="1"/>
          <w:numId w:val="4"/>
        </w:numPr>
      </w:pPr>
      <w:r>
        <w:t>fastställande av resultaträkning och balansräkning, samt, i förekommande fall, koncernresultaträkning och koncernbalansräkning,</w:t>
      </w:r>
    </w:p>
    <w:p w:rsidR="00A17AE7" w:rsidRPr="00B84614" w14:paraId="1F7C53EA" w14:textId="77777777">
      <w:pPr>
        <w:pStyle w:val="NormalEnglish"/>
        <w:ind w:left="1077"/>
        <w:rPr>
          <w:lang w:val="en-US"/>
        </w:rPr>
      </w:pPr>
      <w:r w:rsidRPr="00B84614">
        <w:rPr>
          <w:lang w:val="en-US"/>
        </w:rPr>
        <w:t>adoption of the income statement and balance sheet and, where applicable, the consolidated income statement and consolidated balance sheet;</w:t>
      </w:r>
    </w:p>
    <w:p w:rsidR="00A17AE7" w14:paraId="7FAC07BA" w14:textId="77777777">
      <w:pPr>
        <w:pStyle w:val="Bulletpointa"/>
        <w:numPr>
          <w:ilvl w:val="1"/>
          <w:numId w:val="4"/>
        </w:numPr>
      </w:pPr>
      <w:r>
        <w:t>dispositioner beträffande vinst eller förlust enligt den fastställda balansräkningen,</w:t>
      </w:r>
    </w:p>
    <w:p w:rsidR="00A17AE7" w:rsidRPr="00B84614" w14:paraId="05B174F7" w14:textId="77777777">
      <w:pPr>
        <w:pStyle w:val="NormalEnglish"/>
        <w:ind w:left="1077"/>
        <w:rPr>
          <w:lang w:val="en-US"/>
        </w:rPr>
      </w:pPr>
      <w:r w:rsidRPr="00B84614">
        <w:rPr>
          <w:lang w:val="en-US"/>
        </w:rPr>
        <w:t>allocation of the company’s profit or loss according to the adopted balance sheet;</w:t>
      </w:r>
    </w:p>
    <w:p w:rsidR="00A17AE7" w14:paraId="03E0EE18" w14:textId="6B07E104">
      <w:pPr>
        <w:pStyle w:val="Bulletpointa"/>
        <w:numPr>
          <w:ilvl w:val="1"/>
          <w:numId w:val="4"/>
        </w:numPr>
      </w:pPr>
      <w:r>
        <w:t>ansvarsfrihet åt styrelseledamöter och verkställande direktören,</w:t>
      </w:r>
    </w:p>
    <w:p w:rsidR="00A17AE7" w:rsidRPr="00B84614" w14:paraId="671AB155" w14:textId="285041FA">
      <w:pPr>
        <w:pStyle w:val="NormalEnglish"/>
        <w:ind w:left="1077"/>
        <w:rPr>
          <w:lang w:val="en-US"/>
        </w:rPr>
      </w:pPr>
      <w:r w:rsidRPr="00B84614">
        <w:rPr>
          <w:lang w:val="en-US"/>
        </w:rPr>
        <w:t>discharge from liability for board members and the managing director;</w:t>
      </w:r>
    </w:p>
    <w:p w:rsidR="00A17AE7" w14:paraId="428D98F4" w14:textId="29FFE079">
      <w:pPr>
        <w:pStyle w:val="Bulletpointnumber"/>
      </w:pPr>
      <w:r>
        <w:t>Val till styrelsen och av revisor,</w:t>
      </w:r>
    </w:p>
    <w:p w:rsidR="00A17AE7" w:rsidRPr="00950079" w14:paraId="4D31AD92" w14:textId="585354D4">
      <w:pPr>
        <w:pStyle w:val="NormalEnglish"/>
        <w:ind w:left="720"/>
        <w:rPr>
          <w:lang w:val="en-US"/>
        </w:rPr>
      </w:pPr>
      <w:r w:rsidRPr="00950079" w:rsidR="009D52AA">
        <w:rPr>
          <w:lang w:val="en-US"/>
        </w:rPr>
        <w:t>Appointment of members of the board of directors and auditor;</w:t>
      </w:r>
    </w:p>
    <w:p w:rsidR="00950079" w:rsidP="00950079" w14:paraId="7E98613C" w14:textId="77777777">
      <w:pPr>
        <w:pStyle w:val="Bulletpointnumber"/>
      </w:pPr>
      <w:r>
        <w:t>Fastställande av styrelse- och revisorsarvoden,</w:t>
      </w:r>
    </w:p>
    <w:p w:rsidR="00950079" w:rsidRPr="00B84614" w:rsidP="00950079" w14:paraId="36D72978" w14:textId="0FEA1ED0">
      <w:pPr>
        <w:pStyle w:val="NormalEnglish"/>
        <w:ind w:left="720"/>
        <w:rPr>
          <w:lang w:val="en-US"/>
        </w:rPr>
      </w:pPr>
      <w:r w:rsidRPr="00B84614">
        <w:rPr>
          <w:lang w:val="en-US"/>
        </w:rPr>
        <w:t>Determination of fees for the board of directors and the auditor;</w:t>
      </w:r>
    </w:p>
    <w:p w:rsidR="00A17AE7" w14:paraId="05DC8738" w14:textId="77777777">
      <w:pPr>
        <w:pStyle w:val="Bulletpointnumber"/>
      </w:pPr>
      <w:r>
        <w:t>Annat ärende, som ankommer på stämman enligt aktiebolagslagen eller bolagsordningen.</w:t>
      </w:r>
    </w:p>
    <w:p w:rsidR="00A17AE7" w:rsidRPr="00B84614" w14:paraId="783C2643" w14:textId="77777777">
      <w:pPr>
        <w:pStyle w:val="NormalEnglish"/>
        <w:ind w:left="720"/>
        <w:rPr>
          <w:lang w:val="en-US"/>
        </w:rPr>
      </w:pPr>
      <w:r w:rsidRPr="00B84614">
        <w:rPr>
          <w:lang w:val="en-US"/>
        </w:rPr>
        <w:t>Any other business incumbent on the meeting according to the Companies Act or the articles of association.</w:t>
      </w:r>
    </w:p>
    <w:p w:rsidR="00A17AE7" w14:paraId="3694DE03" w14:textId="77777777">
      <w:pPr>
        <w:pStyle w:val="MinutesHeading3"/>
      </w:pPr>
      <w:r>
        <w:t xml:space="preserve">Räkenskapsår </w:t>
      </w:r>
      <w:r>
        <w:rPr>
          <w:i/>
        </w:rPr>
        <w:t>/ Financial year</w:t>
      </w:r>
    </w:p>
    <w:p w:rsidR="00A17AE7" w14:paraId="0815F4BB" w14:textId="77777777">
      <w:r>
        <w:t>Bolagets räkenskapsår ska omfatta tiden den 1 januari – den 31 december.</w:t>
      </w:r>
    </w:p>
    <w:p w:rsidR="00A17AE7" w:rsidRPr="00B84614" w14:paraId="4D5A6307" w14:textId="77777777">
      <w:pPr>
        <w:pStyle w:val="NormalEnglish"/>
        <w:rPr>
          <w:lang w:val="en-US"/>
        </w:rPr>
      </w:pPr>
      <w:r w:rsidRPr="00B84614">
        <w:rPr>
          <w:lang w:val="en-US"/>
        </w:rPr>
        <w:t>The company’s financial year shall comprise the period commencing 1 January up to and including 31 December.</w:t>
      </w:r>
    </w:p>
    <w:p w:rsidR="00950079" w:rsidRPr="00950079" w:rsidP="00950079" w14:paraId="52FA743C" w14:textId="77777777">
      <w:pPr>
        <w:pStyle w:val="MinutesHeading3"/>
        <w:rPr>
          <w:lang w:val="en-US"/>
        </w:rPr>
      </w:pPr>
      <w:r w:rsidRPr="00950079">
        <w:rPr>
          <w:lang w:val="en-US"/>
        </w:rPr>
        <w:t xml:space="preserve">Fullmaktsinsamling </w:t>
      </w:r>
      <w:r w:rsidRPr="00950079">
        <w:rPr>
          <w:i/>
          <w:lang w:val="en-US"/>
        </w:rPr>
        <w:t>/ Collection of proxy forms</w:t>
      </w:r>
    </w:p>
    <w:p w:rsidR="00950079" w:rsidP="00950079" w14:paraId="6D49F125" w14:textId="77777777">
      <w:r>
        <w:t>Styrelsen får samla in fullmakter på bolagets bekostnad enligt det förfarande som anges i 7 kap 4 § andra stycket aktiebolagslagen.</w:t>
      </w:r>
    </w:p>
    <w:p w:rsidR="00950079" w:rsidRPr="00B84614" w:rsidP="00950079" w14:paraId="48B4FFFE" w14:textId="77777777">
      <w:pPr>
        <w:pStyle w:val="NormalEnglish"/>
        <w:rPr>
          <w:lang w:val="en-US"/>
        </w:rPr>
      </w:pPr>
      <w:r w:rsidRPr="00B84614">
        <w:rPr>
          <w:lang w:val="en-US"/>
        </w:rPr>
        <w:t>The board of directors may collect proxy forms at the company’s expense in accordance with the procedure provided in Chapter 7, section 4, second paragraph of the Companies Act.</w:t>
      </w:r>
    </w:p>
    <w:p w:rsidR="00A17AE7" w:rsidP="00FC2A61" w14:paraId="7ED3A1A6" w14:textId="171D1D09">
      <w:pPr>
        <w:pStyle w:val="MinutesHeading3"/>
        <w:rPr>
          <w:i/>
          <w:lang w:val="en-US"/>
        </w:rPr>
      </w:pPr>
      <w:r>
        <w:rPr>
          <w:lang w:val="en-US"/>
        </w:rPr>
        <w:t xml:space="preserve">Avstämningsförbehåll / </w:t>
      </w:r>
      <w:r w:rsidRPr="00B84614">
        <w:rPr>
          <w:i/>
          <w:lang w:val="en-US"/>
        </w:rPr>
        <w:t>Record day provision</w:t>
      </w:r>
    </w:p>
    <w:p w:rsidR="00FC2A61" w:rsidP="00FC2A61" w14:paraId="651279D6" w14:textId="02C8EEA4">
      <w:r w:rsidRPr="00B84614">
        <w:t>Den aktieägare eller förvaltare som på avstämningsdagen är införd i aktieboken och antecknad i ett avstämningsregister, enligt 4 kap. lagen (1998:1479) om värdepapperscentraler och kontoföring av finansiella instrument eller den som är antecknad på avstämningskonto enligt 4 kap. 18 § första stycket 6-8 nämnda lag, ska antas vara behörig att utöva de rättigheter som framgår av 4 kap. 39 § aktiebolagslagen (2005:551).</w:t>
      </w:r>
    </w:p>
    <w:p w:rsidR="006020F8" w:rsidRPr="00B84614" w:rsidP="00B84614" w14:paraId="24F15A6E" w14:textId="2BFC22CF">
      <w:pPr>
        <w:pStyle w:val="NormalEnglish"/>
        <w:rPr>
          <w:lang w:val="en-US"/>
        </w:rPr>
      </w:pPr>
      <w:r w:rsidRPr="00B84614">
        <w:rPr>
          <w:lang w:val="en-US"/>
        </w:rPr>
        <w:t>The shareholder or nominee that is registered in the share register and recorded in a Central Securities Depository register, according to Chapter 4 of the Central Securities Depositories and Financial Instruments (Accounts) Act (1998:1479) or the person who is recorded in a Central Securities Depositories Account according to Chapter 4, Section 18, first paragraph 6-8 of the said Act, shall be considered authorized to exercise the rights set forth in Chapter 4, Section 39 of the Companies Act (2005:551).</w:t>
      </w:r>
    </w:p>
    <w:p w:rsidR="00A17AE7" w14:paraId="17ED5BA3" w14:textId="77777777">
      <w:pPr>
        <w:jc w:val="center"/>
      </w:pPr>
      <w:r>
        <w:t>_____________________________</w:t>
      </w:r>
    </w:p>
    <w:p w:rsidR="00A17AE7" w14:paraId="07E13949" w14:textId="77777777"/>
    <w:sectPr w:rsidSect="00793C4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09" w:left="1134" w:header="238"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D1B9A" w14:paraId="00065DC1" w14:textId="77777777">
      <w:pPr>
        <w:spacing w:before="0"/>
      </w:pPr>
      <w:r>
        <w:separator/>
      </w:r>
    </w:p>
  </w:endnote>
  <w:endnote w:type="continuationSeparator" w:id="1">
    <w:p w:rsidR="008D1B9A" w14:paraId="435E8531"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0D1" w14:paraId="6FCC75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C48" w:rsidP="00F87A55" w14:paraId="56F8D06B" w14:textId="77777777">
    <w:pPr>
      <w:pStyle w:val="Footer"/>
    </w:pPr>
  </w:p>
  <w:p w:rsidR="00793C48" w:rsidRPr="00D62BF9" w:rsidP="00F87A55" w14:paraId="22606D78" w14:textId="77777777">
    <w:pPr>
      <w:pStyle w:val="Footer"/>
    </w:pPr>
  </w:p>
  <w:tbl>
    <w:tblPr>
      <w:tblStyle w:val="Blank"/>
      <w:tblW w:w="5000" w:type="pct"/>
      <w:tblBorders>
        <w:top w:val="single" w:sz="4" w:space="0" w:color="auto"/>
      </w:tblBorders>
      <w:tblLayout w:type="fixed"/>
      <w:tblLook w:val="04A0"/>
    </w:tblPr>
    <w:tblGrid>
      <w:gridCol w:w="7586"/>
      <w:gridCol w:w="2052"/>
    </w:tblGrid>
    <w:tr w14:paraId="08D1BAF7" w14:textId="77777777" w:rsidTr="00826DB4">
      <w:tblPrEx>
        <w:tblW w:w="5000" w:type="pct"/>
        <w:tblBorders>
          <w:top w:val="single" w:sz="4" w:space="0" w:color="auto"/>
        </w:tblBorders>
        <w:tblLayout w:type="fixed"/>
        <w:tblLook w:val="04A0"/>
      </w:tblPrEx>
      <w:tc>
        <w:tcPr>
          <w:tcW w:w="7139" w:type="dxa"/>
        </w:tcPr>
        <w:p w:rsidR="00793C48" w:rsidRPr="00981D2D" w:rsidP="00F87A55" w14:paraId="68544AD7" w14:textId="77777777">
          <w:pPr>
            <w:pStyle w:val="Footer"/>
          </w:pPr>
        </w:p>
      </w:tc>
      <w:tc>
        <w:tcPr>
          <w:tcW w:w="1931" w:type="dxa"/>
        </w:tcPr>
        <w:p w:rsidR="00F87A55" w:rsidRPr="00981D2D" w:rsidP="00F87A55" w14:paraId="04C8076E" w14:textId="77777777">
          <w:pPr>
            <w:pStyle w:val="Footer"/>
            <w:jc w:val="right"/>
          </w:pPr>
          <w:r w:rsidRPr="00981D2D">
            <w:t xml:space="preserve"> </w:t>
          </w:r>
          <w:r w:rsidRPr="00981D2D">
            <w:fldChar w:fldCharType="begin"/>
          </w:r>
          <w:r w:rsidRPr="00981D2D">
            <w:instrText xml:space="preserve"> PAGE  </w:instrText>
          </w:r>
          <w:r w:rsidRPr="00981D2D">
            <w:fldChar w:fldCharType="separate"/>
          </w:r>
          <w:r>
            <w:t>2</w:t>
          </w:r>
          <w:r w:rsidRPr="00981D2D">
            <w:fldChar w:fldCharType="end"/>
          </w:r>
        </w:p>
      </w:tc>
    </w:tr>
  </w:tbl>
  <w:p w:rsidR="00793C48" w14:paraId="70FE4B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0D1" w14:paraId="44CB43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1B9A" w14:paraId="39B042FD" w14:textId="77777777">
      <w:pPr>
        <w:spacing w:before="0"/>
      </w:pPr>
      <w:r>
        <w:separator/>
      </w:r>
    </w:p>
  </w:footnote>
  <w:footnote w:type="continuationSeparator" w:id="1">
    <w:p w:rsidR="008D1B9A" w14:paraId="314B0DAC"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0D1" w14:paraId="7280BE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0D1" w14:paraId="79275A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10D1" w14:paraId="6B76C7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D13C6"/>
    <w:multiLevelType w:val="multilevel"/>
    <w:tmpl w:val="9C84F09A"/>
    <w:lvl w:ilvl="0">
      <w:start w:val="1"/>
      <w:numFmt w:val="decimal"/>
      <w:pStyle w:val="MinutesHeading3"/>
      <w:lvlText w:val="%1"/>
      <w:lvlJc w:val="left"/>
      <w:pPr>
        <w:tabs>
          <w:tab w:val="num" w:pos="0"/>
        </w:tabs>
        <w:ind w:left="720" w:hanging="72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8479F1"/>
    <w:multiLevelType w:val="multilevel"/>
    <w:tmpl w:val="E16A3ABC"/>
    <w:lvl w:ilvl="0">
      <w:start w:val="1"/>
      <w:numFmt w:val="decimal"/>
      <w:pStyle w:val="ListParagraph"/>
      <w:lvlText w:val="%1."/>
      <w:lvlJc w:val="left"/>
      <w:pPr>
        <w:tabs>
          <w:tab w:val="num" w:pos="0"/>
        </w:tabs>
        <w:ind w:left="720" w:hanging="720"/>
      </w:pPr>
      <w:rPr>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8A43A86"/>
    <w:multiLevelType w:val="multilevel"/>
    <w:tmpl w:val="D51051C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08B93F7F"/>
    <w:multiLevelType w:val="multilevel"/>
    <w:tmpl w:val="0DEA1906"/>
    <w:lvl w:ilvl="0">
      <w:start w:val="1"/>
      <w:numFmt w:val="lowerRoman"/>
      <w:pStyle w:val="Bulletpointi"/>
      <w:lvlText w:val="(%1)"/>
      <w:lvlJc w:val="left"/>
      <w:pPr>
        <w:tabs>
          <w:tab w:val="num" w:pos="720"/>
        </w:tabs>
        <w:ind w:left="720" w:hanging="720"/>
      </w:pPr>
    </w:lvl>
    <w:lvl w:ilvl="1">
      <w:start w:val="1"/>
      <w:numFmt w:val="lowerRoman"/>
      <w:lvlText w:val="(%2)"/>
      <w:lvlJc w:val="left"/>
      <w:pPr>
        <w:tabs>
          <w:tab w:val="num" w:pos="1077"/>
        </w:tabs>
        <w:ind w:left="1077" w:hanging="357"/>
      </w:pPr>
    </w:lvl>
    <w:lvl w:ilvl="2">
      <w:start w:val="1"/>
      <w:numFmt w:val="lowerRoman"/>
      <w:lvlText w:val="(%3)"/>
      <w:lvlJc w:val="left"/>
      <w:pPr>
        <w:tabs>
          <w:tab w:val="num" w:pos="1435"/>
        </w:tabs>
        <w:ind w:left="1435" w:hanging="358"/>
      </w:pPr>
    </w:lvl>
    <w:lvl w:ilvl="3">
      <w:start w:val="1"/>
      <w:numFmt w:val="lowerRoman"/>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B7E697D"/>
    <w:multiLevelType w:val="multilevel"/>
    <w:tmpl w:val="B3160B0A"/>
    <w:lvl w:ilvl="0">
      <w:start w:val="1"/>
      <w:numFmt w:val="upperLetter"/>
      <w:pStyle w:val="Bulletpointuppera"/>
      <w:lvlText w:val="(%1)"/>
      <w:lvlJc w:val="left"/>
      <w:pPr>
        <w:tabs>
          <w:tab w:val="num" w:pos="720"/>
        </w:tabs>
        <w:ind w:left="720" w:hanging="720"/>
      </w:pPr>
    </w:lvl>
    <w:lvl w:ilvl="1">
      <w:start w:val="1"/>
      <w:numFmt w:val="upperLetter"/>
      <w:lvlText w:val="(%2)"/>
      <w:lvlJc w:val="left"/>
      <w:pPr>
        <w:tabs>
          <w:tab w:val="num" w:pos="1077"/>
        </w:tabs>
        <w:ind w:left="1077" w:hanging="357"/>
      </w:pPr>
    </w:lvl>
    <w:lvl w:ilvl="2">
      <w:start w:val="1"/>
      <w:numFmt w:val="upperLetter"/>
      <w:lvlText w:val="(%3)"/>
      <w:lvlJc w:val="left"/>
      <w:pPr>
        <w:tabs>
          <w:tab w:val="num" w:pos="1435"/>
        </w:tabs>
        <w:ind w:left="1435" w:hanging="358"/>
      </w:pPr>
    </w:lvl>
    <w:lvl w:ilvl="3">
      <w:start w:val="1"/>
      <w:numFmt w:val="upp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F53766"/>
    <w:multiLevelType w:val="multilevel"/>
    <w:tmpl w:val="FE14DFF0"/>
    <w:lvl w:ilvl="0">
      <w:start w:val="1"/>
      <w:numFmt w:val="decimal"/>
      <w:lvlText w:val="%1."/>
      <w:lvlJc w:val="left"/>
      <w:pPr>
        <w:tabs>
          <w:tab w:val="num" w:pos="851"/>
        </w:tabs>
        <w:ind w:left="851" w:hanging="851"/>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6E0B5A26"/>
    <w:multiLevelType w:val="multilevel"/>
    <w:tmpl w:val="36D033FE"/>
    <w:lvl w:ilvl="0">
      <w:start w:val="1"/>
      <w:numFmt w:val="bullet"/>
      <w:pStyle w:val="Bulletpointbullet"/>
      <w:lvlText w:val=""/>
      <w:lvlJc w:val="left"/>
      <w:pPr>
        <w:tabs>
          <w:tab w:val="num" w:pos="720"/>
        </w:tabs>
        <w:ind w:left="720" w:hanging="720"/>
      </w:pPr>
      <w:rPr>
        <w:rFonts w:ascii="Symbol" w:hAnsi="Symbol" w:cs="Symbol" w:hint="default"/>
      </w:rPr>
    </w:lvl>
    <w:lvl w:ilvl="1">
      <w:start w:val="1"/>
      <w:numFmt w:val="bullet"/>
      <w:lvlText w:val=""/>
      <w:lvlJc w:val="left"/>
      <w:pPr>
        <w:tabs>
          <w:tab w:val="num" w:pos="1077"/>
        </w:tabs>
        <w:ind w:left="1077" w:hanging="357"/>
      </w:pPr>
      <w:rPr>
        <w:rFonts w:ascii="Symbol" w:hAnsi="Symbol" w:cs="Symbol" w:hint="default"/>
      </w:rPr>
    </w:lvl>
    <w:lvl w:ilvl="2">
      <w:start w:val="1"/>
      <w:numFmt w:val="bullet"/>
      <w:lvlText w:val=""/>
      <w:lvlJc w:val="left"/>
      <w:pPr>
        <w:tabs>
          <w:tab w:val="num" w:pos="1435"/>
        </w:tabs>
        <w:ind w:left="1435" w:hanging="358"/>
      </w:pPr>
      <w:rPr>
        <w:rFonts w:ascii="Symbol" w:hAnsi="Symbol" w:cs="Symbol" w:hint="default"/>
      </w:rPr>
    </w:lvl>
    <w:lvl w:ilvl="3">
      <w:start w:val="1"/>
      <w:numFmt w:val="bullet"/>
      <w:lvlText w:val=""/>
      <w:lvlJc w:val="left"/>
      <w:pPr>
        <w:tabs>
          <w:tab w:val="num" w:pos="1792"/>
        </w:tabs>
        <w:ind w:left="1792" w:hanging="357"/>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23E0AD4"/>
    <w:multiLevelType w:val="multilevel"/>
    <w:tmpl w:val="E1144632"/>
    <w:lvl w:ilvl="0">
      <w:start w:val="1"/>
      <w:numFmt w:val="lowerLetter"/>
      <w:pStyle w:val="Bulletpointa"/>
      <w:lvlText w:val="(%1)"/>
      <w:lvlJc w:val="left"/>
      <w:pPr>
        <w:tabs>
          <w:tab w:val="num" w:pos="720"/>
        </w:tabs>
        <w:ind w:left="720" w:hanging="720"/>
      </w:pPr>
    </w:lvl>
    <w:lvl w:ilvl="1">
      <w:start w:val="1"/>
      <w:numFmt w:val="lowerLetter"/>
      <w:lvlText w:val="(%2)"/>
      <w:lvlJc w:val="left"/>
      <w:pPr>
        <w:tabs>
          <w:tab w:val="num" w:pos="1077"/>
        </w:tabs>
        <w:ind w:left="1077" w:hanging="357"/>
      </w:pPr>
    </w:lvl>
    <w:lvl w:ilvl="2">
      <w:start w:val="1"/>
      <w:numFmt w:val="lowerLetter"/>
      <w:lvlText w:val="(%3)"/>
      <w:lvlJc w:val="left"/>
      <w:pPr>
        <w:tabs>
          <w:tab w:val="num" w:pos="1435"/>
        </w:tabs>
        <w:ind w:left="1435" w:hanging="358"/>
      </w:pPr>
    </w:lvl>
    <w:lvl w:ilvl="3">
      <w:start w:val="1"/>
      <w:numFmt w:val="lowerLetter"/>
      <w:lvlText w:val="(%4)"/>
      <w:lvlJc w:val="left"/>
      <w:pPr>
        <w:tabs>
          <w:tab w:val="num" w:pos="1792"/>
        </w:tabs>
        <w:ind w:left="1792" w:hanging="357"/>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646203041">
    <w:abstractNumId w:val="0"/>
  </w:num>
  <w:num w:numId="2" w16cid:durableId="873884687">
    <w:abstractNumId w:val="1"/>
  </w:num>
  <w:num w:numId="3" w16cid:durableId="1286816670">
    <w:abstractNumId w:val="8"/>
  </w:num>
  <w:num w:numId="4" w16cid:durableId="1261765710">
    <w:abstractNumId w:val="7"/>
  </w:num>
  <w:num w:numId="5" w16cid:durableId="339507616">
    <w:abstractNumId w:val="3"/>
  </w:num>
  <w:num w:numId="6" w16cid:durableId="1563830241">
    <w:abstractNumId w:val="6"/>
  </w:num>
  <w:num w:numId="7" w16cid:durableId="1730568537">
    <w:abstractNumId w:val="5"/>
  </w:num>
  <w:num w:numId="8" w16cid:durableId="764572735">
    <w:abstractNumId w:val="4"/>
  </w:num>
  <w:num w:numId="9" w16cid:durableId="1960722388">
    <w:abstractNumId w:val="2"/>
  </w:num>
  <w:num w:numId="10" w16cid:durableId="110102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2"/>
    <w:rsid w:val="00074CD6"/>
    <w:rsid w:val="00303190"/>
    <w:rsid w:val="0043655B"/>
    <w:rsid w:val="0059058C"/>
    <w:rsid w:val="006020F8"/>
    <w:rsid w:val="00643B24"/>
    <w:rsid w:val="007212AE"/>
    <w:rsid w:val="007710D1"/>
    <w:rsid w:val="00793C48"/>
    <w:rsid w:val="008052B2"/>
    <w:rsid w:val="008174BE"/>
    <w:rsid w:val="008C7DC8"/>
    <w:rsid w:val="008D1B9A"/>
    <w:rsid w:val="00950079"/>
    <w:rsid w:val="00981D2D"/>
    <w:rsid w:val="009D1FF4"/>
    <w:rsid w:val="009D52AA"/>
    <w:rsid w:val="00A17AE7"/>
    <w:rsid w:val="00B13930"/>
    <w:rsid w:val="00B81761"/>
    <w:rsid w:val="00B84614"/>
    <w:rsid w:val="00D45B71"/>
    <w:rsid w:val="00D62BF9"/>
    <w:rsid w:val="00E73BAC"/>
    <w:rsid w:val="00F87A55"/>
    <w:rsid w:val="00FC2A61"/>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98A7E43"/>
  <w15:docId w15:val="{2814505A-DD96-4849-A701-E99D56EF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A55"/>
    <w:pPr>
      <w:spacing w:before="240"/>
    </w:pPr>
    <w:rPr>
      <w:rFonts w:ascii="Arial" w:hAnsi="Arial"/>
    </w:rPr>
  </w:style>
  <w:style w:type="paragraph" w:styleId="Heading1">
    <w:name w:val="heading 1"/>
    <w:basedOn w:val="Normal"/>
    <w:next w:val="Normal"/>
    <w:link w:val="Rubrik1Char"/>
    <w:qFormat/>
    <w:rsid w:val="00643B24"/>
    <w:pPr>
      <w:keepNext/>
      <w:keepLines/>
      <w:spacing w:before="480"/>
      <w:outlineLvl w:val="0"/>
    </w:pPr>
    <w:rPr>
      <w:rFonts w:eastAsiaTheme="majorEastAsia" w:cstheme="majorBidi"/>
      <w:b/>
      <w:bCs/>
      <w:sz w:val="24"/>
      <w:szCs w:val="28"/>
    </w:rPr>
  </w:style>
  <w:style w:type="paragraph" w:styleId="Heading2">
    <w:name w:val="heading 2"/>
    <w:basedOn w:val="Heading1"/>
    <w:next w:val="Normal"/>
    <w:link w:val="Rubrik2Char"/>
    <w:uiPriority w:val="9"/>
    <w:unhideWhenUsed/>
    <w:qFormat/>
    <w:rsid w:val="007212AE"/>
    <w:pPr>
      <w:spacing w:before="200"/>
      <w:outlineLvl w:val="1"/>
    </w:pPr>
    <w:rPr>
      <w:bCs w:val="0"/>
      <w:sz w:val="20"/>
      <w:szCs w:val="26"/>
    </w:rPr>
  </w:style>
  <w:style w:type="paragraph" w:styleId="Heading3">
    <w:name w:val="heading 3"/>
    <w:basedOn w:val="Normal"/>
    <w:next w:val="Normal"/>
    <w:link w:val="Rubrik3Char"/>
    <w:uiPriority w:val="9"/>
    <w:unhideWhenUsed/>
    <w:qFormat/>
    <w:rsid w:val="0086063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qFormat/>
    <w:rsid w:val="00643B24"/>
    <w:rPr>
      <w:rFonts w:ascii="Arial" w:hAnsi="Arial" w:eastAsiaTheme="majorEastAsia" w:cstheme="majorBidi"/>
      <w:b/>
      <w:bCs/>
      <w:sz w:val="24"/>
      <w:szCs w:val="28"/>
    </w:rPr>
  </w:style>
  <w:style w:type="character" w:customStyle="1" w:styleId="Rubrik2Char">
    <w:name w:val="Rubrik 2 Char"/>
    <w:basedOn w:val="DefaultParagraphFont"/>
    <w:link w:val="Heading2"/>
    <w:uiPriority w:val="9"/>
    <w:qFormat/>
    <w:rsid w:val="007212AE"/>
    <w:rPr>
      <w:rFonts w:ascii="Arial" w:hAnsi="Arial" w:eastAsiaTheme="majorEastAsia" w:cstheme="majorBidi"/>
      <w:b/>
      <w:caps/>
      <w:szCs w:val="26"/>
    </w:rPr>
  </w:style>
  <w:style w:type="character" w:customStyle="1" w:styleId="Rubrik3Char">
    <w:name w:val="Rubrik 3 Char"/>
    <w:basedOn w:val="DefaultParagraphFont"/>
    <w:link w:val="Heading3"/>
    <w:uiPriority w:val="9"/>
    <w:qFormat/>
    <w:rsid w:val="00860633"/>
    <w:rPr>
      <w:rFonts w:ascii="Times New Roman" w:hAnsi="Times New Roman" w:eastAsiaTheme="majorEastAsia" w:cstheme="majorBidi"/>
      <w:b/>
      <w:bCs/>
    </w:rPr>
  </w:style>
  <w:style w:type="character" w:customStyle="1" w:styleId="NotetextChar">
    <w:name w:val="Note text Char"/>
    <w:basedOn w:val="DefaultParagraphFont"/>
    <w:link w:val="Notetext"/>
    <w:qFormat/>
    <w:rsid w:val="004B2FF1"/>
    <w:rPr>
      <w:rFonts w:ascii="Times New Roman" w:hAnsi="Times New Roman"/>
      <w:i/>
      <w:sz w:val="18"/>
    </w:rPr>
  </w:style>
  <w:style w:type="character" w:customStyle="1" w:styleId="SidhuvudChar">
    <w:name w:val="Sidhuvud Char"/>
    <w:basedOn w:val="DefaultParagraphFont"/>
    <w:link w:val="Header"/>
    <w:uiPriority w:val="99"/>
    <w:qFormat/>
    <w:rsid w:val="00CA60C1"/>
    <w:rPr>
      <w:rFonts w:ascii="Times New Roman" w:hAnsi="Times New Roman"/>
    </w:rPr>
  </w:style>
  <w:style w:type="character" w:customStyle="1" w:styleId="SidfotChar">
    <w:name w:val="Sidfot Char"/>
    <w:basedOn w:val="DefaultParagraphFont"/>
    <w:link w:val="Footer"/>
    <w:uiPriority w:val="21"/>
    <w:qFormat/>
    <w:rsid w:val="00793C48"/>
    <w:rPr>
      <w:rFonts w:ascii="Arial" w:hAnsi="Arial"/>
      <w:sz w:val="16"/>
    </w:rPr>
  </w:style>
  <w:style w:type="character" w:styleId="PageNumber">
    <w:name w:val="page number"/>
    <w:basedOn w:val="DefaultParagraphFont"/>
    <w:unhideWhenUsed/>
    <w:qFormat/>
    <w:rsid w:val="00CA60C1"/>
    <w:rPr>
      <w:sz w:val="22"/>
      <w:lang w:val="sv-SE"/>
    </w:rPr>
  </w:style>
  <w:style w:type="paragraph" w:customStyle="1" w:styleId="Heading">
    <w:name w:val="Heading"/>
    <w:basedOn w:val="Normal"/>
    <w:next w:val="BodyText"/>
    <w:qFormat/>
    <w:pPr>
      <w:keepNext/>
      <w:spacing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character" w:customStyle="1" w:styleId="Notetext">
    <w:name w:val="Note text"/>
    <w:link w:val="NotetextChar"/>
    <w:qFormat/>
    <w:rsid w:val="004B2FF1"/>
    <w:rPr>
      <w:i/>
      <w:sz w:val="18"/>
    </w:rPr>
  </w:style>
  <w:style w:type="paragraph" w:customStyle="1" w:styleId="Heading1English">
    <w:name w:val="Heading 1 English"/>
    <w:basedOn w:val="Heading1"/>
    <w:next w:val="Normal"/>
    <w:qFormat/>
    <w:rsid w:val="00A5796E"/>
    <w:pPr>
      <w:spacing w:before="0"/>
    </w:pPr>
    <w:rPr>
      <w:i/>
    </w:rPr>
  </w:style>
  <w:style w:type="paragraph" w:customStyle="1" w:styleId="Heading2English">
    <w:name w:val="Heading 2 English"/>
    <w:basedOn w:val="Heading2"/>
    <w:next w:val="Normal"/>
    <w:qFormat/>
    <w:rsid w:val="00A5796E"/>
    <w:pPr>
      <w:spacing w:before="0"/>
    </w:pPr>
    <w:rPr>
      <w:i/>
    </w:rPr>
  </w:style>
  <w:style w:type="paragraph" w:customStyle="1" w:styleId="NormalEnglish">
    <w:name w:val="Normal English"/>
    <w:basedOn w:val="Normal"/>
    <w:qFormat/>
    <w:rsid w:val="00B26A55"/>
    <w:pPr>
      <w:spacing w:before="0"/>
    </w:pPr>
    <w:rPr>
      <w:i/>
      <w:sz w:val="18"/>
    </w:rPr>
  </w:style>
  <w:style w:type="paragraph" w:customStyle="1" w:styleId="MinutesHeading1">
    <w:name w:val="Minutes Heading 1"/>
    <w:basedOn w:val="Heading1"/>
    <w:next w:val="Normal"/>
    <w:qFormat/>
    <w:rsid w:val="00D45B71"/>
    <w:pPr>
      <w:ind w:left="5103"/>
    </w:pPr>
    <w:rPr>
      <w:b w:val="0"/>
      <w:sz w:val="20"/>
    </w:rPr>
  </w:style>
  <w:style w:type="paragraph" w:customStyle="1" w:styleId="MinutesHeading1English">
    <w:name w:val="Minutes Heading1 English"/>
    <w:basedOn w:val="MinutesHeading1"/>
    <w:next w:val="Normal"/>
    <w:qFormat/>
    <w:rsid w:val="0070168D"/>
    <w:pPr>
      <w:spacing w:before="0"/>
    </w:pPr>
    <w:rPr>
      <w:i/>
      <w:sz w:val="18"/>
    </w:rPr>
  </w:style>
  <w:style w:type="paragraph" w:customStyle="1" w:styleId="MinutesHeading2">
    <w:name w:val="Minutes Heading 2"/>
    <w:basedOn w:val="Heading2"/>
    <w:next w:val="Normal"/>
    <w:qFormat/>
    <w:rsid w:val="00D45B71"/>
    <w:rPr>
      <w:b w:val="0"/>
    </w:rPr>
  </w:style>
  <w:style w:type="paragraph" w:customStyle="1" w:styleId="MinutesHeading2English">
    <w:name w:val="Minutes Heading 2 English"/>
    <w:basedOn w:val="Heading2English"/>
    <w:next w:val="Normal"/>
    <w:qFormat/>
    <w:rsid w:val="00E73BAC"/>
    <w:rPr>
      <w:b w:val="0"/>
    </w:rPr>
  </w:style>
  <w:style w:type="paragraph" w:customStyle="1" w:styleId="MinutesHeading3">
    <w:name w:val="Minutes Heading 3"/>
    <w:basedOn w:val="Heading3"/>
    <w:next w:val="Normal"/>
    <w:qFormat/>
    <w:rsid w:val="009D1FF4"/>
    <w:pPr>
      <w:numPr>
        <w:numId w:val="1"/>
      </w:numPr>
      <w:spacing w:before="525"/>
    </w:pPr>
    <w:rPr>
      <w:sz w:val="24"/>
    </w:rPr>
  </w:style>
  <w:style w:type="paragraph" w:customStyle="1" w:styleId="Style1">
    <w:name w:val="Style1"/>
    <w:basedOn w:val="Heading1"/>
    <w:qFormat/>
    <w:rsid w:val="00392C0D"/>
    <w:pPr>
      <w:spacing w:before="0"/>
    </w:pPr>
  </w:style>
  <w:style w:type="paragraph" w:customStyle="1" w:styleId="Heading3English">
    <w:name w:val="Heading 3 English"/>
    <w:basedOn w:val="Heading3"/>
    <w:next w:val="Normal"/>
    <w:qFormat/>
    <w:rsid w:val="00A5796E"/>
    <w:pPr>
      <w:spacing w:before="0"/>
    </w:pPr>
    <w:rPr>
      <w:i/>
    </w:rPr>
  </w:style>
  <w:style w:type="paragraph" w:customStyle="1" w:styleId="Textbody">
    <w:name w:val="Text body"/>
    <w:basedOn w:val="Normal"/>
    <w:qFormat/>
    <w:rsid w:val="00CC14E6"/>
    <w:pPr>
      <w:widowControl w:val="0"/>
      <w:spacing w:before="0" w:after="283" w:line="276" w:lineRule="auto"/>
    </w:pPr>
    <w:rPr>
      <w:rFonts w:eastAsia="Times New Roman" w:cs="Times New Roman"/>
      <w:lang w:eastAsia="zh-CN" w:bidi="hi-IN"/>
    </w:rPr>
  </w:style>
  <w:style w:type="paragraph" w:styleId="ListParagraph">
    <w:name w:val="List Paragraph"/>
    <w:basedOn w:val="Normal"/>
    <w:uiPriority w:val="34"/>
    <w:qFormat/>
    <w:rsid w:val="009D1FF4"/>
    <w:pPr>
      <w:numPr>
        <w:numId w:val="2"/>
      </w:numPr>
      <w:contextualSpacing/>
    </w:pPr>
  </w:style>
  <w:style w:type="paragraph" w:customStyle="1" w:styleId="Bulletpointnumber">
    <w:name w:val="Bullet point number"/>
    <w:basedOn w:val="ListParagraph"/>
    <w:qFormat/>
    <w:rsid w:val="008C12DF"/>
  </w:style>
  <w:style w:type="paragraph" w:customStyle="1" w:styleId="Bulletpointa">
    <w:name w:val="Bullet point a"/>
    <w:basedOn w:val="ListParagraph"/>
    <w:qFormat/>
    <w:rsid w:val="009D1FF4"/>
    <w:pPr>
      <w:numPr>
        <w:numId w:val="4"/>
      </w:numPr>
    </w:pPr>
  </w:style>
  <w:style w:type="paragraph" w:customStyle="1" w:styleId="Bulletpointi">
    <w:name w:val="Bullet point i"/>
    <w:basedOn w:val="ListParagraph"/>
    <w:qFormat/>
    <w:rsid w:val="009D1FF4"/>
    <w:pPr>
      <w:numPr>
        <w:numId w:val="5"/>
      </w:numPr>
    </w:pPr>
  </w:style>
  <w:style w:type="paragraph" w:customStyle="1" w:styleId="Bulletpointbullet">
    <w:name w:val="Bullet point bullet"/>
    <w:basedOn w:val="ListParagraph"/>
    <w:qFormat/>
    <w:rsid w:val="009D1FF4"/>
    <w:pPr>
      <w:numPr>
        <w:numId w:val="6"/>
      </w:numPr>
    </w:pPr>
  </w:style>
  <w:style w:type="paragraph" w:customStyle="1" w:styleId="Adressflt">
    <w:name w:val="Adressfält"/>
    <w:basedOn w:val="Textbody"/>
    <w:qFormat/>
    <w:rsid w:val="00662FFD"/>
    <w:pPr>
      <w:spacing w:after="0"/>
    </w:pPr>
  </w:style>
  <w:style w:type="paragraph" w:customStyle="1" w:styleId="NormalEnglishIndent">
    <w:name w:val="Normal English Indent"/>
    <w:basedOn w:val="NormalEnglish"/>
    <w:qFormat/>
    <w:rsid w:val="00CA60C1"/>
    <w:pPr>
      <w:ind w:left="720"/>
    </w:pPr>
  </w:style>
  <w:style w:type="paragraph" w:styleId="ListNumber">
    <w:name w:val="List Number"/>
    <w:basedOn w:val="Normal"/>
    <w:uiPriority w:val="99"/>
    <w:semiHidden/>
    <w:unhideWhenUsed/>
    <w:qFormat/>
    <w:rsid w:val="00BF3B4F"/>
    <w:pPr>
      <w:ind w:left="567" w:hanging="567"/>
      <w:contextualSpacing/>
    </w:pPr>
  </w:style>
  <w:style w:type="paragraph" w:customStyle="1" w:styleId="Bulletpointuppera">
    <w:name w:val="Bullet point upper a"/>
    <w:basedOn w:val="Bulletpointa"/>
    <w:qFormat/>
    <w:rsid w:val="009D1FF4"/>
    <w:pPr>
      <w:numPr>
        <w:numId w:val="8"/>
      </w:numPr>
    </w:pPr>
  </w:style>
  <w:style w:type="paragraph" w:styleId="NormalIndent">
    <w:name w:val="Normal Indent"/>
    <w:basedOn w:val="Normal"/>
    <w:uiPriority w:val="99"/>
    <w:unhideWhenUsed/>
    <w:qFormat/>
    <w:rsid w:val="00CA60C1"/>
    <w:pPr>
      <w:ind w:left="720"/>
    </w:pPr>
  </w:style>
  <w:style w:type="paragraph" w:styleId="NoSpacing">
    <w:name w:val="No Spacing"/>
    <w:uiPriority w:val="1"/>
    <w:qFormat/>
    <w:rsid w:val="00D12EF0"/>
    <w:pPr>
      <w:jc w:val="both"/>
    </w:pPr>
    <w:rPr>
      <w:rFonts w:ascii="Arial" w:eastAsia="Times New Roman" w:hAnsi="Arial" w:cs="Times New Roman"/>
      <w:szCs w:val="24"/>
      <w:lang w:eastAsia="sv-SE"/>
    </w:rPr>
  </w:style>
  <w:style w:type="paragraph" w:customStyle="1" w:styleId="HeaderandFooter">
    <w:name w:val="Header and Footer"/>
    <w:basedOn w:val="Normal"/>
    <w:qFormat/>
  </w:style>
  <w:style w:type="paragraph" w:styleId="Header">
    <w:name w:val="header"/>
    <w:basedOn w:val="Normal"/>
    <w:link w:val="SidhuvudChar"/>
    <w:uiPriority w:val="99"/>
    <w:unhideWhenUsed/>
    <w:rsid w:val="00CA60C1"/>
    <w:pPr>
      <w:tabs>
        <w:tab w:val="center" w:pos="4536"/>
        <w:tab w:val="right" w:pos="9072"/>
      </w:tabs>
      <w:spacing w:before="0"/>
    </w:pPr>
  </w:style>
  <w:style w:type="paragraph" w:styleId="Footer">
    <w:name w:val="footer"/>
    <w:basedOn w:val="Normal"/>
    <w:link w:val="SidfotChar"/>
    <w:uiPriority w:val="21"/>
    <w:unhideWhenUsed/>
    <w:rsid w:val="00793C48"/>
    <w:pPr>
      <w:tabs>
        <w:tab w:val="center" w:pos="4536"/>
        <w:tab w:val="right" w:pos="9072"/>
      </w:tabs>
      <w:spacing w:before="0" w:line="240" w:lineRule="atLeast"/>
    </w:pPr>
    <w:rPr>
      <w:sz w:val="16"/>
    </w:rPr>
  </w:style>
  <w:style w:type="paragraph" w:customStyle="1" w:styleId="Rubrik1Center">
    <w:name w:val="Rubrik 1 Center"/>
    <w:basedOn w:val="Heading1"/>
    <w:qFormat/>
    <w:rsid w:val="00074CD6"/>
  </w:style>
  <w:style w:type="paragraph" w:customStyle="1" w:styleId="Heading1EnglishCenter">
    <w:name w:val="Heading 1 English Center"/>
    <w:basedOn w:val="Heading1English"/>
    <w:qFormat/>
    <w:rsid w:val="00074CD6"/>
  </w:style>
  <w:style w:type="paragraph" w:customStyle="1" w:styleId="NormalCenter">
    <w:name w:val="Normal Center"/>
    <w:basedOn w:val="Normal"/>
    <w:qFormat/>
    <w:rsid w:val="008C7DC8"/>
  </w:style>
  <w:style w:type="paragraph" w:customStyle="1" w:styleId="Rubrik2Center">
    <w:name w:val="Rubrik 2 Center"/>
    <w:basedOn w:val="Heading2"/>
    <w:qFormat/>
    <w:rsid w:val="00074CD6"/>
  </w:style>
  <w:style w:type="paragraph" w:customStyle="1" w:styleId="Heading2EnglishCenter">
    <w:name w:val="Heading 2 English Center"/>
    <w:basedOn w:val="Heading2English"/>
    <w:qFormat/>
    <w:rsid w:val="00074CD6"/>
  </w:style>
  <w:style w:type="paragraph" w:customStyle="1" w:styleId="Rubrik3Center">
    <w:name w:val="Rubrik 3 Center"/>
    <w:basedOn w:val="Heading3"/>
    <w:qFormat/>
    <w:rsid w:val="00074CD6"/>
  </w:style>
  <w:style w:type="paragraph" w:customStyle="1" w:styleId="Heading3EnglishCenter">
    <w:name w:val="Heading 3 English Center"/>
    <w:basedOn w:val="Heading3English"/>
    <w:qFormat/>
    <w:rsid w:val="00074CD6"/>
  </w:style>
  <w:style w:type="paragraph" w:customStyle="1" w:styleId="NormalEnglishCenter">
    <w:name w:val="Normal English Center"/>
    <w:basedOn w:val="NormalEnglish"/>
    <w:qFormat/>
    <w:rsid w:val="008C7DC8"/>
  </w:style>
  <w:style w:type="paragraph" w:customStyle="1" w:styleId="Template-Disclaimer">
    <w:name w:val="Template - Disclaimer"/>
    <w:basedOn w:val="Normal"/>
    <w:uiPriority w:val="8"/>
    <w:semiHidden/>
    <w:qFormat/>
    <w:rsid w:val="001615DD"/>
    <w:pPr>
      <w:spacing w:before="0" w:line="240" w:lineRule="atLeast"/>
    </w:pPr>
    <w:rPr>
      <w:rFonts w:cs="Verdana"/>
      <w:spacing w:val="3"/>
      <w:sz w:val="16"/>
      <w:szCs w:val="20"/>
    </w:rPr>
  </w:style>
  <w:style w:type="table" w:customStyle="1" w:styleId="Blank">
    <w:name w:val="Blank"/>
    <w:basedOn w:val="TableNormal"/>
    <w:uiPriority w:val="99"/>
    <w:rsid w:val="001615DD"/>
    <w:pPr>
      <w:spacing w:after="240"/>
    </w:pPr>
    <w:rPr>
      <w:szCs w:val="20"/>
    </w:rPr>
    <w:tblPr>
      <w:tblCellMar>
        <w:left w:w="0" w:type="dxa"/>
        <w:right w:w="0" w:type="dxa"/>
      </w:tblCellMar>
    </w:tblPr>
  </w:style>
  <w:style w:type="paragraph" w:styleId="Revision">
    <w:name w:val="Revision"/>
    <w:hidden/>
    <w:uiPriority w:val="99"/>
    <w:semiHidden/>
    <w:rsid w:val="00FC2A61"/>
    <w:pPr>
      <w:suppressAutoHyphens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SW_MATTERS!7493937.1</documentid>
  <senderid>AARON.EIDEM@SE.DLAPIPER.COM</senderid>
  <senderemail>AARON.EIDEM@SE.DLAPIPER.COM</senderemail>
  <lastmodified>2025-04-30T17:29:00.0000000+02:00</lastmodified>
  <database>SW_MATTERS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BCF1-6065-40DE-BE3F-0656FDDCABEB}">
  <ds:schemaRefs>
    <ds:schemaRef ds:uri="http://schemas.openxmlformats.org/officeDocument/2006/bibliography"/>
  </ds:schemaRefs>
</ds:datastoreItem>
</file>

<file path=customXml/itemProps2.xml><?xml version="1.0" encoding="utf-8"?>
<ds:datastoreItem xmlns:ds="http://schemas.openxmlformats.org/officeDocument/2006/customXml" ds:itemID="{F78FDE0C-2793-443D-9D87-9C6D9727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